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12BA6">
      <w:pPr>
        <w:pStyle w:val="2"/>
        <w:pageBreakBefore/>
        <w:rPr>
          <w:rFonts w:hint="eastAsia" w:eastAsiaTheme="majorEastAsia"/>
          <w:szCs w:val="32"/>
          <w:lang w:eastAsia="zh-CN"/>
        </w:rPr>
      </w:pPr>
      <w:r>
        <w:rPr>
          <w:rFonts w:hint="eastAsia" w:ascii="宋体" w:hAnsi="宋体" w:cs="宋体"/>
          <w:b w:val="0"/>
          <w:bCs w:val="0"/>
          <w:szCs w:val="21"/>
        </w:rPr>
        <w:t>附页</w:t>
      </w:r>
      <w:r>
        <w:rPr>
          <w:rFonts w:hint="eastAsia" w:ascii="宋体" w:hAnsi="宋体" w:cs="宋体"/>
          <w:b w:val="0"/>
          <w:bCs w:val="0"/>
          <w:szCs w:val="21"/>
          <w:lang w:val="en-US" w:eastAsia="zh-CN"/>
        </w:rPr>
        <w:t>1采购需求</w:t>
      </w:r>
    </w:p>
    <w:p w14:paraId="498CAB7A">
      <w:pPr>
        <w:pStyle w:val="3"/>
        <w:spacing w:before="0" w:after="0" w:line="360" w:lineRule="auto"/>
        <w:jc w:val="center"/>
        <w:rPr>
          <w:szCs w:val="32"/>
        </w:rPr>
      </w:pPr>
      <w:r>
        <w:rPr>
          <w:szCs w:val="32"/>
        </w:rPr>
        <w:t>湘潭生物机电学校培训食堂劳务外包服务项目</w:t>
      </w:r>
      <w:r>
        <w:rPr>
          <w:rFonts w:hint="eastAsia"/>
          <w:szCs w:val="32"/>
        </w:rPr>
        <w:t>采购需求</w:t>
      </w:r>
    </w:p>
    <w:p w14:paraId="2EF764FB">
      <w:pPr>
        <w:pStyle w:val="9"/>
        <w:spacing w:after="0" w:line="360" w:lineRule="auto"/>
        <w:ind w:firstLine="482"/>
        <w:rPr>
          <w:rFonts w:hint="eastAsia" w:ascii="宋体" w:hAnsi="宋体"/>
          <w:sz w:val="24"/>
        </w:rPr>
      </w:pPr>
      <w:bookmarkStart w:id="0" w:name="OLE_LINK12"/>
      <w:r>
        <w:rPr>
          <w:rFonts w:hint="eastAsia"/>
          <w:b/>
          <w:bCs/>
          <w:sz w:val="24"/>
        </w:rPr>
        <w:t>一、项目名称：</w:t>
      </w:r>
      <w:bookmarkStart w:id="1" w:name="OLE_LINK1"/>
      <w:r>
        <w:rPr>
          <w:rFonts w:hint="eastAsia"/>
          <w:sz w:val="24"/>
        </w:rPr>
        <w:t>湘潭生物机电学校培训食堂劳务外包服务项目</w:t>
      </w:r>
      <w:bookmarkEnd w:id="1"/>
    </w:p>
    <w:p w14:paraId="7C431355">
      <w:pPr>
        <w:pStyle w:val="9"/>
        <w:spacing w:after="0" w:line="360" w:lineRule="auto"/>
        <w:ind w:firstLine="482"/>
        <w:rPr>
          <w:rFonts w:hint="eastAsia" w:ascii="宋体" w:hAnsi="宋体"/>
          <w:sz w:val="24"/>
        </w:rPr>
      </w:pPr>
      <w:r>
        <w:rPr>
          <w:rFonts w:hint="eastAsia"/>
          <w:b/>
          <w:bCs/>
          <w:sz w:val="24"/>
        </w:rPr>
        <w:t>二、服务期限：</w:t>
      </w:r>
      <w:r>
        <w:rPr>
          <w:rFonts w:hint="eastAsia"/>
          <w:sz w:val="24"/>
        </w:rPr>
        <w:t>二年</w:t>
      </w:r>
    </w:p>
    <w:p w14:paraId="0777E3B2">
      <w:pPr>
        <w:pStyle w:val="9"/>
        <w:spacing w:after="0" w:line="360" w:lineRule="auto"/>
        <w:ind w:firstLine="482"/>
        <w:rPr>
          <w:b/>
          <w:bCs/>
          <w:sz w:val="24"/>
        </w:rPr>
      </w:pPr>
      <w:r>
        <w:rPr>
          <w:rFonts w:hint="eastAsia"/>
          <w:b/>
          <w:bCs/>
          <w:sz w:val="24"/>
        </w:rPr>
        <w:t>三、项目预算：</w:t>
      </w:r>
      <w:r>
        <w:rPr>
          <w:sz w:val="24"/>
        </w:rPr>
        <w:t>20元/人/天，按实际培训人数计算</w:t>
      </w:r>
    </w:p>
    <w:p w14:paraId="7BE941CD">
      <w:pPr>
        <w:pStyle w:val="9"/>
        <w:spacing w:after="0" w:line="360" w:lineRule="auto"/>
        <w:ind w:firstLine="482"/>
        <w:rPr>
          <w:b/>
          <w:bCs/>
          <w:sz w:val="24"/>
        </w:rPr>
      </w:pPr>
      <w:r>
        <w:rPr>
          <w:rFonts w:hint="eastAsia"/>
          <w:b/>
          <w:bCs/>
          <w:sz w:val="24"/>
        </w:rPr>
        <w:t>四、项目概况：</w:t>
      </w:r>
    </w:p>
    <w:p w14:paraId="3F5A0558">
      <w:pPr>
        <w:pStyle w:val="9"/>
        <w:spacing w:after="0" w:line="360" w:lineRule="auto"/>
        <w:ind w:firstLine="482"/>
        <w:rPr>
          <w:sz w:val="24"/>
        </w:rPr>
      </w:pPr>
      <w:bookmarkStart w:id="2" w:name="OLE_LINK8"/>
      <w:r>
        <w:rPr>
          <w:rFonts w:hint="eastAsia"/>
          <w:sz w:val="24"/>
        </w:rPr>
        <w:t>本项目是为采购人的校外培训学员提供早、中、晚三餐等就餐服务。培训就餐时间以实际需要培训的时间为准，培训人数以实际培训人数为准，采购人确定培训计划后将通知</w:t>
      </w:r>
      <w:r>
        <w:rPr>
          <w:sz w:val="24"/>
        </w:rPr>
        <w:t>供应商</w:t>
      </w:r>
      <w:r>
        <w:rPr>
          <w:rFonts w:hint="eastAsia"/>
          <w:sz w:val="24"/>
        </w:rPr>
        <w:t>就餐时间和就餐人数，</w:t>
      </w:r>
      <w:r>
        <w:rPr>
          <w:sz w:val="24"/>
        </w:rPr>
        <w:t>供应商</w:t>
      </w:r>
      <w:r>
        <w:rPr>
          <w:rFonts w:hint="eastAsia"/>
          <w:sz w:val="24"/>
        </w:rPr>
        <w:t>必须根据采购人的培训工作安排做好就餐劳务服务，保证劳务服务人员的到岗和就餐服务工作。</w:t>
      </w:r>
    </w:p>
    <w:bookmarkEnd w:id="2"/>
    <w:p w14:paraId="72D17865">
      <w:pPr>
        <w:spacing w:line="360" w:lineRule="auto"/>
        <w:ind w:firstLine="482" w:firstLineChars="200"/>
        <w:rPr>
          <w:b/>
          <w:bCs/>
          <w:sz w:val="24"/>
        </w:rPr>
      </w:pPr>
      <w:r>
        <w:rPr>
          <w:rFonts w:hint="eastAsia"/>
          <w:b/>
          <w:bCs/>
          <w:sz w:val="24"/>
        </w:rPr>
        <w:t>五、</w:t>
      </w:r>
      <w:r>
        <w:rPr>
          <w:b/>
          <w:bCs/>
          <w:sz w:val="24"/>
        </w:rPr>
        <w:t>投标人资格要求</w:t>
      </w:r>
    </w:p>
    <w:p w14:paraId="5D6F38FC">
      <w:pPr>
        <w:spacing w:line="360" w:lineRule="auto"/>
        <w:ind w:firstLine="480" w:firstLineChars="200"/>
        <w:rPr>
          <w:rFonts w:hint="eastAsia"/>
          <w:sz w:val="24"/>
        </w:rPr>
      </w:pPr>
      <w:r>
        <w:rPr>
          <w:rFonts w:hint="eastAsia"/>
          <w:sz w:val="24"/>
        </w:rPr>
        <w:t>一、1、满足《中华人民共和国政府采购法》第二十二条规定；</w:t>
      </w:r>
    </w:p>
    <w:p w14:paraId="0EEA10F6">
      <w:pPr>
        <w:spacing w:line="360" w:lineRule="auto"/>
        <w:ind w:firstLine="480" w:firstLineChars="200"/>
        <w:rPr>
          <w:rFonts w:hint="eastAsia"/>
          <w:sz w:val="24"/>
        </w:rPr>
      </w:pPr>
      <w:r>
        <w:rPr>
          <w:rFonts w:hint="eastAsia"/>
          <w:sz w:val="24"/>
        </w:rPr>
        <w:t>（1）具有独立承担民事责任的能力；</w:t>
      </w:r>
    </w:p>
    <w:p w14:paraId="4499790B">
      <w:pPr>
        <w:spacing w:line="360" w:lineRule="auto"/>
        <w:ind w:firstLine="480" w:firstLineChars="200"/>
        <w:rPr>
          <w:rFonts w:hint="eastAsia"/>
          <w:sz w:val="24"/>
        </w:rPr>
      </w:pPr>
      <w:r>
        <w:rPr>
          <w:rFonts w:hint="eastAsia"/>
          <w:sz w:val="24"/>
        </w:rPr>
        <w:t>（2）具有良好的商业信誉和健全的财务会计制度；</w:t>
      </w:r>
    </w:p>
    <w:p w14:paraId="4EC5865E">
      <w:pPr>
        <w:spacing w:line="360" w:lineRule="auto"/>
        <w:ind w:firstLine="480" w:firstLineChars="200"/>
        <w:rPr>
          <w:rFonts w:hint="eastAsia"/>
          <w:sz w:val="24"/>
        </w:rPr>
      </w:pPr>
      <w:r>
        <w:rPr>
          <w:rFonts w:hint="eastAsia"/>
          <w:sz w:val="24"/>
        </w:rPr>
        <w:t>（3）具有履行合同所必需的设备和专业技术能力；</w:t>
      </w:r>
    </w:p>
    <w:p w14:paraId="0AC0A928">
      <w:pPr>
        <w:spacing w:line="360" w:lineRule="auto"/>
        <w:ind w:firstLine="480" w:firstLineChars="200"/>
        <w:rPr>
          <w:rFonts w:hint="eastAsia"/>
          <w:sz w:val="24"/>
        </w:rPr>
      </w:pPr>
      <w:r>
        <w:rPr>
          <w:rFonts w:hint="eastAsia"/>
          <w:sz w:val="24"/>
        </w:rPr>
        <w:t>（4）有依法缴纳税收和社会保障资金的良好记录。</w:t>
      </w:r>
    </w:p>
    <w:p w14:paraId="1C261151">
      <w:pPr>
        <w:spacing w:line="360" w:lineRule="auto"/>
        <w:ind w:firstLine="480" w:firstLineChars="200"/>
        <w:rPr>
          <w:rFonts w:hint="eastAsia"/>
          <w:sz w:val="24"/>
        </w:rPr>
      </w:pPr>
      <w:r>
        <w:rPr>
          <w:rFonts w:hint="eastAsia"/>
          <w:sz w:val="24"/>
        </w:rPr>
        <w:t>（5）参加政府采购活动前三年内，在经营活动中没有重大违法记录。</w:t>
      </w:r>
    </w:p>
    <w:p w14:paraId="7B730339">
      <w:pPr>
        <w:spacing w:line="360" w:lineRule="auto"/>
        <w:ind w:firstLine="480" w:firstLineChars="200"/>
        <w:rPr>
          <w:rFonts w:hint="eastAsia"/>
          <w:sz w:val="24"/>
        </w:rPr>
      </w:pPr>
      <w:r>
        <w:rPr>
          <w:rFonts w:hint="eastAsia"/>
          <w:sz w:val="24"/>
        </w:rPr>
        <w:t>（6）法律、行政法规规定的其他条件。</w:t>
      </w:r>
    </w:p>
    <w:p w14:paraId="064FA7C2">
      <w:pPr>
        <w:spacing w:line="360" w:lineRule="auto"/>
        <w:ind w:firstLine="480" w:firstLineChars="200"/>
        <w:rPr>
          <w:rFonts w:hint="eastAsia"/>
          <w:sz w:val="24"/>
        </w:rPr>
      </w:pPr>
      <w:r>
        <w:rPr>
          <w:rFonts w:hint="eastAsia"/>
          <w:sz w:val="24"/>
        </w:rPr>
        <w:t>2、本项目的特定资格要求：无</w:t>
      </w:r>
    </w:p>
    <w:p w14:paraId="38E36F4E">
      <w:pPr>
        <w:spacing w:line="360" w:lineRule="auto"/>
        <w:ind w:firstLine="480" w:firstLineChars="200"/>
        <w:rPr>
          <w:rFonts w:hint="eastAsia"/>
          <w:sz w:val="24"/>
        </w:rPr>
      </w:pPr>
      <w:r>
        <w:rPr>
          <w:rFonts w:hint="eastAsia"/>
          <w:sz w:val="24"/>
        </w:rPr>
        <w:t>3、若投标人与为采购人食堂提供食品原材料的供货方为同一主体，或者存在相关利益关系，则不得参与此项目的投标。</w:t>
      </w:r>
    </w:p>
    <w:p w14:paraId="0831D529">
      <w:pPr>
        <w:spacing w:line="360" w:lineRule="auto"/>
        <w:ind w:firstLine="480" w:firstLineChars="200"/>
        <w:rPr>
          <w:rFonts w:hint="eastAsia"/>
          <w:sz w:val="24"/>
        </w:rPr>
      </w:pPr>
      <w:r>
        <w:rPr>
          <w:rFonts w:hint="eastAsia"/>
          <w:sz w:val="24"/>
        </w:rPr>
        <w:t>4、单位负责人为同一人或者存在直接控股、管理关系的不同供应商，不得参加同一合同项下的政府采购活动。</w:t>
      </w:r>
    </w:p>
    <w:p w14:paraId="7ACB46DB">
      <w:pPr>
        <w:spacing w:line="360" w:lineRule="auto"/>
        <w:ind w:firstLine="480" w:firstLineChars="200"/>
        <w:rPr>
          <w:rFonts w:hint="eastAsia"/>
          <w:sz w:val="24"/>
        </w:rPr>
      </w:pPr>
      <w:r>
        <w:rPr>
          <w:rFonts w:hint="eastAsia"/>
          <w:sz w:val="24"/>
        </w:rPr>
        <w:t>5、为本采购项目提供整体设计、规范编制或者项目管理、监理、检测等服务的，不得再参加此项目的其他采购活动。</w:t>
      </w:r>
    </w:p>
    <w:p w14:paraId="636A2BE7">
      <w:pPr>
        <w:spacing w:line="360" w:lineRule="auto"/>
        <w:ind w:firstLine="480" w:firstLineChars="200"/>
        <w:rPr>
          <w:rFonts w:hint="eastAsia"/>
          <w:sz w:val="24"/>
        </w:rPr>
      </w:pPr>
      <w:r>
        <w:rPr>
          <w:rFonts w:hint="eastAsia"/>
          <w:sz w:val="24"/>
        </w:rPr>
        <w:t>6、列入失信被执行人、重大税收违法失信主体名单、政府采购严重违法失信行为记录名单的，拒绝其参与政府采购活动。</w:t>
      </w:r>
    </w:p>
    <w:p w14:paraId="6D57A09B">
      <w:pPr>
        <w:spacing w:line="360" w:lineRule="auto"/>
        <w:ind w:firstLine="480" w:firstLineChars="200"/>
        <w:rPr>
          <w:sz w:val="24"/>
        </w:rPr>
      </w:pPr>
      <w:r>
        <w:rPr>
          <w:rFonts w:hint="eastAsia"/>
          <w:sz w:val="24"/>
        </w:rPr>
        <w:t>7、联合体响应。本次采购不接受联合体响应。</w:t>
      </w:r>
    </w:p>
    <w:p w14:paraId="1406CAB0">
      <w:pPr>
        <w:spacing w:line="360" w:lineRule="auto"/>
        <w:ind w:firstLine="482" w:firstLineChars="200"/>
        <w:rPr>
          <w:b/>
          <w:bCs/>
          <w:sz w:val="24"/>
        </w:rPr>
      </w:pPr>
      <w:r>
        <w:rPr>
          <w:rFonts w:hint="eastAsia"/>
          <w:b/>
          <w:bCs/>
          <w:sz w:val="24"/>
        </w:rPr>
        <w:t>六、项目要求</w:t>
      </w:r>
    </w:p>
    <w:p w14:paraId="1658E60E">
      <w:pPr>
        <w:spacing w:line="360" w:lineRule="auto"/>
        <w:ind w:firstLine="480" w:firstLineChars="200"/>
        <w:rPr>
          <w:sz w:val="24"/>
        </w:rPr>
      </w:pPr>
      <w:r>
        <w:rPr>
          <w:rFonts w:hint="eastAsia"/>
          <w:sz w:val="24"/>
        </w:rPr>
        <w:t>(一)服务要求</w:t>
      </w:r>
    </w:p>
    <w:p w14:paraId="184FE405">
      <w:pPr>
        <w:spacing w:line="360" w:lineRule="auto"/>
        <w:ind w:firstLine="480" w:firstLineChars="200"/>
        <w:rPr>
          <w:rFonts w:hint="eastAsia" w:ascii="宋体" w:hAnsi="宋体"/>
          <w:sz w:val="24"/>
        </w:rPr>
      </w:pPr>
      <w:r>
        <w:rPr>
          <w:rFonts w:hint="eastAsia" w:ascii="宋体" w:hAnsi="宋体"/>
          <w:sz w:val="24"/>
        </w:rPr>
        <w:t>1、</w:t>
      </w:r>
      <w:r>
        <w:rPr>
          <w:sz w:val="24"/>
        </w:rPr>
        <w:t>供应商</w:t>
      </w:r>
      <w:r>
        <w:rPr>
          <w:rFonts w:hint="eastAsia"/>
          <w:sz w:val="24"/>
        </w:rPr>
        <w:t>负责编制培训时间段的食品安排和计划，提供每天食谱，并组织实施，按照学校培训的作息时间按时供餐。应在培训开始时间前提交菜品报采购人审核，并根据审核意见进行修改。</w:t>
      </w:r>
    </w:p>
    <w:p w14:paraId="75C02E98">
      <w:pPr>
        <w:spacing w:line="360" w:lineRule="auto"/>
        <w:ind w:firstLine="480" w:firstLineChars="200"/>
        <w:rPr>
          <w:sz w:val="24"/>
          <w:u w:val="single"/>
        </w:rPr>
      </w:pPr>
      <w:r>
        <w:rPr>
          <w:rFonts w:hint="eastAsia"/>
          <w:sz w:val="24"/>
        </w:rPr>
        <w:t>2、</w:t>
      </w:r>
      <w:r>
        <w:rPr>
          <w:sz w:val="24"/>
        </w:rPr>
        <w:t>供应商</w:t>
      </w:r>
      <w:r>
        <w:rPr>
          <w:rFonts w:hint="eastAsia"/>
          <w:sz w:val="24"/>
        </w:rPr>
        <w:t>须按本项目用餐要求配足供餐服务人员，本项目须长期储备4人，其中厨师1人、厨工2人、专职管理人员1人，</w:t>
      </w:r>
      <w:r>
        <w:rPr>
          <w:rFonts w:hint="eastAsia"/>
          <w:sz w:val="24"/>
          <w:lang w:val="en-US" w:eastAsia="zh-CN"/>
        </w:rPr>
        <w:t>为</w:t>
      </w:r>
      <w:r>
        <w:rPr>
          <w:rFonts w:hint="eastAsia"/>
          <w:sz w:val="24"/>
        </w:rPr>
        <w:t>保障满载工作量的需求，每次就餐服务根据就餐人数</w:t>
      </w:r>
      <w:r>
        <w:rPr>
          <w:rFonts w:hint="eastAsia"/>
          <w:sz w:val="24"/>
          <w:lang w:val="en-US" w:eastAsia="zh-CN"/>
        </w:rPr>
        <w:t>需</w:t>
      </w:r>
      <w:r>
        <w:rPr>
          <w:rFonts w:hint="eastAsia"/>
          <w:sz w:val="24"/>
        </w:rPr>
        <w:t>随时调配人员</w:t>
      </w:r>
      <w:r>
        <w:rPr>
          <w:rFonts w:hint="eastAsia"/>
          <w:sz w:val="24"/>
          <w:lang w:val="en-US" w:eastAsia="zh-CN"/>
        </w:rPr>
        <w:t>并于甲方确认供餐服务人员是否合理</w:t>
      </w:r>
      <w:r>
        <w:rPr>
          <w:rFonts w:hint="eastAsia"/>
          <w:sz w:val="24"/>
        </w:rPr>
        <w:t>。</w:t>
      </w:r>
      <w:r>
        <w:rPr>
          <w:sz w:val="24"/>
        </w:rPr>
        <w:t>供应商</w:t>
      </w:r>
      <w:r>
        <w:rPr>
          <w:rFonts w:hint="eastAsia"/>
          <w:sz w:val="24"/>
        </w:rPr>
        <w:t>所聘用人员须身体健康，年满18周岁且不超过58周岁。低于此人员配置视为无效投标。合理安排供餐进度，保持供餐充足，并严格按照食品加工管理条例和食品安全法律法规要求，认真履行岗位职责。为确保食堂整体运营秩序，</w:t>
      </w:r>
      <w:r>
        <w:rPr>
          <w:sz w:val="24"/>
        </w:rPr>
        <w:t>供应商</w:t>
      </w:r>
      <w:r>
        <w:rPr>
          <w:rFonts w:hint="eastAsia"/>
          <w:sz w:val="24"/>
        </w:rPr>
        <w:t>应确保其服务人员遵守采购人为维护校园安全和公共秩序而制定的合理规定，如进出校门管理、防火防爆等，但采购人的内部人事管理制度不当然适用于</w:t>
      </w:r>
      <w:r>
        <w:rPr>
          <w:sz w:val="24"/>
        </w:rPr>
        <w:t>供应商</w:t>
      </w:r>
      <w:r>
        <w:rPr>
          <w:rFonts w:hint="eastAsia"/>
          <w:sz w:val="24"/>
        </w:rPr>
        <w:t>员工。</w:t>
      </w:r>
    </w:p>
    <w:p w14:paraId="2C5C9D02">
      <w:pPr>
        <w:spacing w:line="360" w:lineRule="auto"/>
        <w:ind w:firstLine="480" w:firstLineChars="200"/>
        <w:rPr>
          <w:sz w:val="24"/>
        </w:rPr>
      </w:pPr>
      <w:r>
        <w:rPr>
          <w:rFonts w:hint="eastAsia"/>
          <w:sz w:val="24"/>
        </w:rPr>
        <w:t>3、按规定准时开餐，开餐前15分钟布置完毕，如遇停水停气等突发情况不能准时开餐，</w:t>
      </w:r>
      <w:r>
        <w:rPr>
          <w:sz w:val="24"/>
        </w:rPr>
        <w:t>供应商</w:t>
      </w:r>
      <w:r>
        <w:rPr>
          <w:rFonts w:hint="eastAsia"/>
          <w:sz w:val="24"/>
        </w:rPr>
        <w:t>应立即启动应急预案，并提前通知采购人，留有充分时间做出补救，满足供餐需要。如遇特殊情况，采购人需延时开餐的，需提前通知</w:t>
      </w:r>
      <w:r>
        <w:rPr>
          <w:sz w:val="24"/>
        </w:rPr>
        <w:t>供应商</w:t>
      </w:r>
      <w:r>
        <w:rPr>
          <w:rFonts w:hint="eastAsia"/>
          <w:sz w:val="24"/>
        </w:rPr>
        <w:t>，</w:t>
      </w:r>
      <w:r>
        <w:rPr>
          <w:sz w:val="24"/>
        </w:rPr>
        <w:t>供应商</w:t>
      </w:r>
      <w:r>
        <w:rPr>
          <w:rFonts w:hint="eastAsia"/>
          <w:sz w:val="24"/>
        </w:rPr>
        <w:t>需按要求执行。</w:t>
      </w:r>
    </w:p>
    <w:p w14:paraId="03EE7CB3">
      <w:pPr>
        <w:spacing w:line="360" w:lineRule="auto"/>
        <w:ind w:firstLine="480" w:firstLineChars="200"/>
        <w:rPr>
          <w:sz w:val="24"/>
        </w:rPr>
      </w:pPr>
      <w:r>
        <w:rPr>
          <w:rFonts w:hint="eastAsia"/>
          <w:sz w:val="24"/>
        </w:rPr>
        <w:t>4、</w:t>
      </w:r>
      <w:r>
        <w:rPr>
          <w:sz w:val="24"/>
        </w:rPr>
        <w:t>供应商</w:t>
      </w:r>
      <w:r>
        <w:rPr>
          <w:rFonts w:hint="eastAsia"/>
          <w:sz w:val="24"/>
        </w:rPr>
        <w:t>应根据就餐人数做好充裕的准备，以满足培训食堂用餐需求，不得造成供餐延误或食品浪费。</w:t>
      </w:r>
    </w:p>
    <w:p w14:paraId="4FC5D0EF">
      <w:pPr>
        <w:spacing w:line="360" w:lineRule="auto"/>
        <w:ind w:firstLine="480" w:firstLineChars="200"/>
        <w:rPr>
          <w:sz w:val="24"/>
        </w:rPr>
      </w:pPr>
      <w:r>
        <w:rPr>
          <w:rFonts w:hint="eastAsia"/>
          <w:sz w:val="24"/>
        </w:rPr>
        <w:t>5、</w:t>
      </w:r>
      <w:r>
        <w:rPr>
          <w:sz w:val="24"/>
        </w:rPr>
        <w:t>供应商</w:t>
      </w:r>
      <w:r>
        <w:rPr>
          <w:rFonts w:hint="eastAsia"/>
          <w:sz w:val="24"/>
        </w:rPr>
        <w:t>聘请的服务人员在提供餐饮服务时应统一着装，作业时应佩戴口罩、帽子等防护用品。疫情防控期间如需进行打包服务，应及时准确进行分餐，保证菜量，分餐必须提供环保打包餐盒。</w:t>
      </w:r>
    </w:p>
    <w:p w14:paraId="5084C737">
      <w:pPr>
        <w:spacing w:line="360" w:lineRule="auto"/>
        <w:ind w:firstLine="480" w:firstLineChars="200"/>
        <w:rPr>
          <w:sz w:val="24"/>
        </w:rPr>
      </w:pPr>
      <w:r>
        <w:rPr>
          <w:rFonts w:hint="eastAsia"/>
          <w:sz w:val="24"/>
        </w:rPr>
        <w:t>6、当采购人增加或减少餐费标准时，</w:t>
      </w:r>
      <w:r>
        <w:rPr>
          <w:sz w:val="24"/>
        </w:rPr>
        <w:t>供应商</w:t>
      </w:r>
      <w:r>
        <w:rPr>
          <w:rFonts w:hint="eastAsia"/>
          <w:sz w:val="24"/>
        </w:rPr>
        <w:t>应在规定的时间内对饭菜做出调整，调整前必须提前制定出方案，经采购人审核、确认、批准后方可实施。</w:t>
      </w:r>
    </w:p>
    <w:p w14:paraId="6F731A50">
      <w:pPr>
        <w:spacing w:line="360" w:lineRule="auto"/>
        <w:ind w:firstLine="480" w:firstLineChars="200"/>
        <w:rPr>
          <w:sz w:val="24"/>
        </w:rPr>
      </w:pPr>
      <w:r>
        <w:rPr>
          <w:rFonts w:hint="eastAsia"/>
          <w:sz w:val="24"/>
        </w:rPr>
        <w:t>(二)服务人员要求</w:t>
      </w:r>
    </w:p>
    <w:p w14:paraId="19B7851B">
      <w:pPr>
        <w:spacing w:line="360" w:lineRule="auto"/>
        <w:ind w:firstLine="480" w:firstLineChars="200"/>
        <w:rPr>
          <w:sz w:val="24"/>
        </w:rPr>
      </w:pPr>
      <w:r>
        <w:rPr>
          <w:rFonts w:hint="eastAsia"/>
          <w:sz w:val="24"/>
        </w:rPr>
        <w:t>1、</w:t>
      </w:r>
      <w:r>
        <w:rPr>
          <w:sz w:val="24"/>
        </w:rPr>
        <w:t>供应商</w:t>
      </w:r>
      <w:r>
        <w:rPr>
          <w:rFonts w:hint="eastAsia"/>
          <w:sz w:val="24"/>
        </w:rPr>
        <w:t>聘请的服务人员须符合&lt;&lt;中华人民共和国劳动法&gt;&gt;&lt;&lt;中华人民共和国劳动合同法&gt;&gt;的有关要求，承担服务人员工资、社保、医保、工伤和意外保险及福利等所有支出。</w:t>
      </w:r>
    </w:p>
    <w:p w14:paraId="25501AC4">
      <w:pPr>
        <w:spacing w:line="360" w:lineRule="auto"/>
        <w:ind w:firstLine="480" w:firstLineChars="200"/>
        <w:rPr>
          <w:sz w:val="24"/>
        </w:rPr>
      </w:pPr>
      <w:r>
        <w:rPr>
          <w:rFonts w:hint="eastAsia"/>
          <w:sz w:val="24"/>
        </w:rPr>
        <w:t>2、</w:t>
      </w:r>
      <w:r>
        <w:rPr>
          <w:sz w:val="24"/>
        </w:rPr>
        <w:t>供应商</w:t>
      </w:r>
      <w:r>
        <w:rPr>
          <w:rFonts w:hint="eastAsia"/>
          <w:sz w:val="24"/>
        </w:rPr>
        <w:t>须为服务人员配备劳保用品(工作服、防滑鞋、帽子等)，所有人员持体检合格的证明上岗，相关费用均由</w:t>
      </w:r>
      <w:r>
        <w:rPr>
          <w:sz w:val="24"/>
        </w:rPr>
        <w:t>供应商</w:t>
      </w:r>
      <w:r>
        <w:rPr>
          <w:rFonts w:hint="eastAsia"/>
          <w:sz w:val="24"/>
        </w:rPr>
        <w:t>承担。如</w:t>
      </w:r>
      <w:r>
        <w:rPr>
          <w:sz w:val="24"/>
        </w:rPr>
        <w:t>供应商</w:t>
      </w:r>
      <w:r>
        <w:rPr>
          <w:rFonts w:hint="eastAsia"/>
          <w:sz w:val="24"/>
        </w:rPr>
        <w:t>聘请的服务人员出现工伤、意外事故或其他劳动纠纷、安全事故、违规行为</w:t>
      </w:r>
      <w:r>
        <w:rPr>
          <w:rFonts w:hint="eastAsia"/>
          <w:sz w:val="24"/>
          <w:lang w:val="en-US" w:eastAsia="zh-CN"/>
        </w:rPr>
        <w:t>等</w:t>
      </w:r>
      <w:r>
        <w:rPr>
          <w:rFonts w:hint="eastAsia"/>
          <w:sz w:val="24"/>
        </w:rPr>
        <w:t>，概由</w:t>
      </w:r>
      <w:r>
        <w:rPr>
          <w:sz w:val="24"/>
        </w:rPr>
        <w:t>供应商</w:t>
      </w:r>
      <w:r>
        <w:rPr>
          <w:rFonts w:hint="eastAsia"/>
          <w:sz w:val="24"/>
        </w:rPr>
        <w:t>承担全部责任负责。</w:t>
      </w:r>
      <w:r>
        <w:rPr>
          <w:sz w:val="24"/>
        </w:rPr>
        <w:t>供应商</w:t>
      </w:r>
      <w:r>
        <w:rPr>
          <w:rFonts w:hint="eastAsia"/>
          <w:sz w:val="24"/>
        </w:rPr>
        <w:t>派遣采购人食堂劳务经理，因管理失误，导致的安全事故和食品安全事故，责任和产生费用由</w:t>
      </w:r>
      <w:r>
        <w:rPr>
          <w:sz w:val="24"/>
        </w:rPr>
        <w:t>供应商</w:t>
      </w:r>
      <w:r>
        <w:rPr>
          <w:rFonts w:hint="eastAsia"/>
          <w:sz w:val="24"/>
        </w:rPr>
        <w:t>公司负责承担，与采购人无关。如给采购人造成损失，采购人依法追究其责任和赔偿。</w:t>
      </w:r>
    </w:p>
    <w:p w14:paraId="2D2D51F0">
      <w:pPr>
        <w:spacing w:line="360" w:lineRule="auto"/>
        <w:ind w:firstLine="480" w:firstLineChars="200"/>
        <w:rPr>
          <w:sz w:val="24"/>
        </w:rPr>
      </w:pPr>
      <w:r>
        <w:rPr>
          <w:rFonts w:hint="eastAsia"/>
          <w:sz w:val="24"/>
        </w:rPr>
        <w:t>3、</w:t>
      </w:r>
      <w:r>
        <w:rPr>
          <w:sz w:val="24"/>
        </w:rPr>
        <w:t>供应商</w:t>
      </w:r>
      <w:r>
        <w:rPr>
          <w:rFonts w:hint="eastAsia"/>
          <w:sz w:val="24"/>
        </w:rPr>
        <w:t>必须提供服务人员名单和无犯罪记录证明。食堂服务人员由</w:t>
      </w:r>
      <w:r>
        <w:rPr>
          <w:sz w:val="24"/>
        </w:rPr>
        <w:t>供应商</w:t>
      </w:r>
      <w:r>
        <w:rPr>
          <w:rFonts w:hint="eastAsia"/>
          <w:sz w:val="24"/>
        </w:rPr>
        <w:t>具体管理，采购人执行监督管理。</w:t>
      </w:r>
      <w:r>
        <w:rPr>
          <w:sz w:val="24"/>
        </w:rPr>
        <w:t>供应商</w:t>
      </w:r>
      <w:r>
        <w:rPr>
          <w:rFonts w:hint="eastAsia"/>
          <w:sz w:val="24"/>
        </w:rPr>
        <w:t>更换项目负责人或关键岗位人员（包括但不限于厨师长），应至少提前五个工作日书面通知采购人；更换其他普通工作人员，应于更换后三个工作日内向采购人备案。采购人如认为</w:t>
      </w:r>
      <w:r>
        <w:rPr>
          <w:sz w:val="24"/>
        </w:rPr>
        <w:t>供应商</w:t>
      </w:r>
      <w:r>
        <w:rPr>
          <w:rFonts w:hint="eastAsia"/>
          <w:sz w:val="24"/>
        </w:rPr>
        <w:t>拟更换或已更换的人员存在不符合合同约定的资格要求、患有有碍食品安全的疾病、或其他可能严重影响食堂运作的正当理由，有权提出书面异议，</w:t>
      </w:r>
      <w:r>
        <w:rPr>
          <w:sz w:val="24"/>
        </w:rPr>
        <w:t>供应商</w:t>
      </w:r>
      <w:r>
        <w:rPr>
          <w:rFonts w:hint="eastAsia"/>
          <w:sz w:val="24"/>
        </w:rPr>
        <w:t>收到异议后应立即停止更换或撤换该名人员。</w:t>
      </w:r>
      <w:r>
        <w:rPr>
          <w:sz w:val="24"/>
        </w:rPr>
        <w:t>供应商</w:t>
      </w:r>
      <w:r>
        <w:rPr>
          <w:rFonts w:hint="eastAsia"/>
          <w:sz w:val="24"/>
        </w:rPr>
        <w:t>的内部人员管理、调度均属于</w:t>
      </w:r>
      <w:r>
        <w:rPr>
          <w:sz w:val="24"/>
        </w:rPr>
        <w:t>供应商</w:t>
      </w:r>
      <w:r>
        <w:rPr>
          <w:rFonts w:hint="eastAsia"/>
          <w:sz w:val="24"/>
        </w:rPr>
        <w:t>自主经营范畴，采购人不得直接干预。</w:t>
      </w:r>
    </w:p>
    <w:p w14:paraId="31F3DDD6">
      <w:pPr>
        <w:spacing w:line="360" w:lineRule="auto"/>
        <w:ind w:firstLine="480" w:firstLineChars="200"/>
        <w:rPr>
          <w:sz w:val="24"/>
        </w:rPr>
      </w:pPr>
      <w:r>
        <w:rPr>
          <w:rFonts w:hint="eastAsia"/>
          <w:sz w:val="24"/>
        </w:rPr>
        <w:t>4、</w:t>
      </w:r>
      <w:r>
        <w:rPr>
          <w:sz w:val="24"/>
        </w:rPr>
        <w:t>供应商</w:t>
      </w:r>
      <w:r>
        <w:rPr>
          <w:rFonts w:hint="eastAsia"/>
          <w:sz w:val="24"/>
        </w:rPr>
        <w:t>所有人员须持有效的《健康证》上岗，且每年需进行一次体检。若采购人发现食堂服务人员无健康证的，采购人有权单方面解除合同。</w:t>
      </w:r>
      <w:r>
        <w:rPr>
          <w:sz w:val="24"/>
        </w:rPr>
        <w:t>供应商</w:t>
      </w:r>
      <w:r>
        <w:rPr>
          <w:rFonts w:hint="eastAsia"/>
          <w:sz w:val="24"/>
        </w:rPr>
        <w:t>应建立服务人员档案，有据可查。</w:t>
      </w:r>
    </w:p>
    <w:p w14:paraId="48C625E0">
      <w:pPr>
        <w:spacing w:line="360" w:lineRule="auto"/>
        <w:ind w:firstLine="480" w:firstLineChars="200"/>
        <w:rPr>
          <w:sz w:val="24"/>
        </w:rPr>
      </w:pPr>
      <w:r>
        <w:rPr>
          <w:rFonts w:hint="eastAsia"/>
          <w:sz w:val="24"/>
        </w:rPr>
        <w:t>(三)食堂管理要求</w:t>
      </w:r>
    </w:p>
    <w:p w14:paraId="07A712C7">
      <w:pPr>
        <w:spacing w:line="360" w:lineRule="auto"/>
        <w:ind w:firstLine="480" w:firstLineChars="200"/>
        <w:rPr>
          <w:sz w:val="24"/>
        </w:rPr>
      </w:pPr>
      <w:r>
        <w:rPr>
          <w:rFonts w:hint="eastAsia"/>
          <w:sz w:val="24"/>
        </w:rPr>
        <w:t>1、</w:t>
      </w:r>
      <w:r>
        <w:rPr>
          <w:sz w:val="24"/>
        </w:rPr>
        <w:t>供应商</w:t>
      </w:r>
      <w:r>
        <w:rPr>
          <w:rFonts w:hint="eastAsia"/>
          <w:sz w:val="24"/>
        </w:rPr>
        <w:t>必须按照国家有关安全生产的规定，根据湖南省标准化放心食堂要求建设，建立健全食堂各项规章制度。</w:t>
      </w:r>
      <w:r>
        <w:rPr>
          <w:sz w:val="24"/>
        </w:rPr>
        <w:t>供应商</w:t>
      </w:r>
      <w:r>
        <w:rPr>
          <w:rFonts w:hint="eastAsia"/>
          <w:sz w:val="24"/>
        </w:rPr>
        <w:t>应充分考虑项目实施过程中的各种风险，由</w:t>
      </w:r>
      <w:r>
        <w:rPr>
          <w:sz w:val="24"/>
        </w:rPr>
        <w:t>供应商</w:t>
      </w:r>
      <w:r>
        <w:rPr>
          <w:rFonts w:hint="eastAsia"/>
          <w:sz w:val="24"/>
        </w:rPr>
        <w:t>自负盈亏。</w:t>
      </w:r>
    </w:p>
    <w:p w14:paraId="7C5D4421">
      <w:pPr>
        <w:spacing w:line="360" w:lineRule="auto"/>
        <w:ind w:firstLine="480" w:firstLineChars="200"/>
        <w:rPr>
          <w:sz w:val="24"/>
        </w:rPr>
      </w:pPr>
      <w:r>
        <w:rPr>
          <w:rFonts w:hint="eastAsia"/>
          <w:sz w:val="24"/>
        </w:rPr>
        <w:t>2、</w:t>
      </w:r>
      <w:r>
        <w:rPr>
          <w:sz w:val="24"/>
        </w:rPr>
        <w:t>供应商</w:t>
      </w:r>
      <w:r>
        <w:rPr>
          <w:rFonts w:hint="eastAsia"/>
          <w:sz w:val="24"/>
        </w:rPr>
        <w:t>应提供主动热情、周到的服务，根据培训要求及时调整食谱、品种，保障饭菜质量和口味，让培训学员满意，接受采购人的考核。</w:t>
      </w:r>
    </w:p>
    <w:p w14:paraId="158F47D5">
      <w:pPr>
        <w:spacing w:line="360" w:lineRule="auto"/>
        <w:ind w:firstLine="480" w:firstLineChars="200"/>
        <w:rPr>
          <w:sz w:val="24"/>
        </w:rPr>
      </w:pPr>
      <w:r>
        <w:rPr>
          <w:rFonts w:hint="eastAsia"/>
          <w:sz w:val="24"/>
        </w:rPr>
        <w:t>3、采购人有权对食堂运作管理(如卫生、安全、治安、消防综合质量)等进行监督，将按照有关要求对</w:t>
      </w:r>
      <w:r>
        <w:rPr>
          <w:sz w:val="24"/>
        </w:rPr>
        <w:t>供应商</w:t>
      </w:r>
      <w:r>
        <w:rPr>
          <w:rFonts w:hint="eastAsia"/>
          <w:sz w:val="24"/>
        </w:rPr>
        <w:t>的违规行为进行记录和处罚。</w:t>
      </w:r>
      <w:r>
        <w:rPr>
          <w:sz w:val="24"/>
        </w:rPr>
        <w:t>供应商</w:t>
      </w:r>
      <w:r>
        <w:rPr>
          <w:rFonts w:hint="eastAsia"/>
          <w:sz w:val="24"/>
        </w:rPr>
        <w:t>应保证提供的食物符合国家卫生和质量标准，建立固定的监督和管理制度，并对工作中出现的问题及采购人提出的意见和处罚，做出书面说明和处理情况报告。出现应当被处罚的情形时，不免除</w:t>
      </w:r>
      <w:r>
        <w:rPr>
          <w:sz w:val="24"/>
        </w:rPr>
        <w:t>供应商</w:t>
      </w:r>
      <w:r>
        <w:rPr>
          <w:rFonts w:hint="eastAsia"/>
          <w:sz w:val="24"/>
        </w:rPr>
        <w:t>依法依规依合同应当承担的民事赔偿责任及其他法律责任。</w:t>
      </w:r>
    </w:p>
    <w:p w14:paraId="3B6A4F5D">
      <w:pPr>
        <w:spacing w:line="360" w:lineRule="auto"/>
        <w:ind w:firstLine="480" w:firstLineChars="200"/>
        <w:rPr>
          <w:sz w:val="24"/>
        </w:rPr>
      </w:pPr>
      <w:r>
        <w:rPr>
          <w:rFonts w:hint="eastAsia"/>
          <w:sz w:val="24"/>
        </w:rPr>
        <w:t>4、采购人依照有关食品卫生行政管理法律、法规、规章制度，有权随时对制作饭菜的食材及辅料进行抽检和食堂卫生检查，加强食堂卫生状况、安全生产服务水准以及饮食营养搭配等管理。</w:t>
      </w:r>
    </w:p>
    <w:p w14:paraId="09EEEF10">
      <w:pPr>
        <w:spacing w:line="360" w:lineRule="auto"/>
        <w:ind w:firstLine="480" w:firstLineChars="200"/>
        <w:rPr>
          <w:sz w:val="24"/>
        </w:rPr>
      </w:pPr>
      <w:r>
        <w:rPr>
          <w:rFonts w:hint="eastAsia"/>
          <w:sz w:val="24"/>
        </w:rPr>
        <w:t>5、采购人有权依照国家法律法规，对</w:t>
      </w:r>
      <w:r>
        <w:rPr>
          <w:sz w:val="24"/>
        </w:rPr>
        <w:t>供应商</w:t>
      </w:r>
      <w:r>
        <w:rPr>
          <w:rFonts w:hint="eastAsia"/>
          <w:sz w:val="24"/>
        </w:rPr>
        <w:t>提供的服务质量、食品安全、卫生状况及合同履行情况进行监督与检查。对于检查中发现的问题，采购人有权向</w:t>
      </w:r>
      <w:r>
        <w:rPr>
          <w:sz w:val="24"/>
        </w:rPr>
        <w:t>供应商</w:t>
      </w:r>
      <w:r>
        <w:rPr>
          <w:rFonts w:hint="eastAsia"/>
          <w:sz w:val="24"/>
        </w:rPr>
        <w:t>发出书面整改通知，</w:t>
      </w:r>
      <w:r>
        <w:rPr>
          <w:sz w:val="24"/>
        </w:rPr>
        <w:t>供应商</w:t>
      </w:r>
      <w:r>
        <w:rPr>
          <w:rFonts w:hint="eastAsia"/>
          <w:sz w:val="24"/>
        </w:rPr>
        <w:t>必须在规定期限内予以纠正并达到约定标准。采购人的监督与检查不免除</w:t>
      </w:r>
      <w:r>
        <w:rPr>
          <w:sz w:val="24"/>
        </w:rPr>
        <w:t>供应商</w:t>
      </w:r>
      <w:r>
        <w:rPr>
          <w:rFonts w:hint="eastAsia"/>
          <w:sz w:val="24"/>
        </w:rPr>
        <w:t>作为劳务服务提供方的任何责任。</w:t>
      </w:r>
      <w:r>
        <w:rPr>
          <w:sz w:val="24"/>
        </w:rPr>
        <w:t>供应商</w:t>
      </w:r>
      <w:r>
        <w:rPr>
          <w:rFonts w:hint="eastAsia"/>
          <w:sz w:val="24"/>
        </w:rPr>
        <w:t>应配合采购人的监督检查，并提供必要的数据和便利。</w:t>
      </w:r>
    </w:p>
    <w:p w14:paraId="2BA58D34">
      <w:pPr>
        <w:spacing w:line="360" w:lineRule="auto"/>
        <w:ind w:firstLine="480" w:firstLineChars="200"/>
        <w:rPr>
          <w:sz w:val="24"/>
        </w:rPr>
      </w:pPr>
      <w:r>
        <w:rPr>
          <w:rFonts w:hint="eastAsia"/>
          <w:sz w:val="24"/>
        </w:rPr>
        <w:t>6、</w:t>
      </w:r>
      <w:r>
        <w:rPr>
          <w:sz w:val="24"/>
        </w:rPr>
        <w:t>供应商</w:t>
      </w:r>
      <w:r>
        <w:rPr>
          <w:rFonts w:hint="eastAsia"/>
          <w:sz w:val="24"/>
        </w:rPr>
        <w:t>应当自觉接受市场监管、上级教育主管部门、纪检、卫健、税务、公安、消防等部门的监督检查工作，必须按照采购人的要求严格履行创文创卫、疫情防控、平安建设等工作任务。</w:t>
      </w:r>
    </w:p>
    <w:p w14:paraId="18FB832A">
      <w:pPr>
        <w:spacing w:line="360" w:lineRule="auto"/>
        <w:ind w:firstLine="480" w:firstLineChars="200"/>
        <w:rPr>
          <w:sz w:val="24"/>
        </w:rPr>
      </w:pPr>
      <w:r>
        <w:rPr>
          <w:rFonts w:hint="eastAsia"/>
          <w:sz w:val="24"/>
        </w:rPr>
        <w:t>7、禁止非食堂工作人员未经许可进入生产加工、仓储存放区域，禁止</w:t>
      </w:r>
      <w:r>
        <w:rPr>
          <w:sz w:val="24"/>
        </w:rPr>
        <w:t>供应商</w:t>
      </w:r>
      <w:r>
        <w:rPr>
          <w:rFonts w:hint="eastAsia"/>
          <w:sz w:val="24"/>
        </w:rPr>
        <w:t>食堂劳务人员子女亲属进入操作间，特别是食堂劳务人员子女进入操作间用餐搞特殊化。严禁食堂人员私自从食堂带走任何物品，如有发现应及时进行教育，对屡教不改者采购人有权对</w:t>
      </w:r>
      <w:r>
        <w:rPr>
          <w:sz w:val="24"/>
        </w:rPr>
        <w:t>供应商</w:t>
      </w:r>
      <w:r>
        <w:rPr>
          <w:rFonts w:hint="eastAsia"/>
          <w:sz w:val="24"/>
        </w:rPr>
        <w:t>进行处罚。</w:t>
      </w:r>
    </w:p>
    <w:p w14:paraId="59FBA486">
      <w:pPr>
        <w:spacing w:line="360" w:lineRule="auto"/>
        <w:ind w:firstLine="480" w:firstLineChars="200"/>
        <w:rPr>
          <w:sz w:val="24"/>
        </w:rPr>
      </w:pPr>
      <w:r>
        <w:rPr>
          <w:rFonts w:hint="eastAsia"/>
          <w:sz w:val="24"/>
        </w:rPr>
        <w:t>8、</w:t>
      </w:r>
      <w:r>
        <w:rPr>
          <w:sz w:val="24"/>
        </w:rPr>
        <w:t>供应商</w:t>
      </w:r>
      <w:r>
        <w:rPr>
          <w:rFonts w:hint="eastAsia"/>
          <w:sz w:val="24"/>
        </w:rPr>
        <w:t>对食堂水、电、气及食品原料必须厉行节约，对食堂设施设备必须认真加以爱护，采购人对食堂节约能耗及低值易耗品进行考核管理，若发现浪费行为，将进行严肃处理。</w:t>
      </w:r>
      <w:r>
        <w:rPr>
          <w:sz w:val="24"/>
        </w:rPr>
        <w:t>供应商</w:t>
      </w:r>
      <w:r>
        <w:rPr>
          <w:rFonts w:hint="eastAsia"/>
          <w:sz w:val="24"/>
        </w:rPr>
        <w:t>须保证房屋、设备、设施、墙面、地面的完好，若有损坏由</w:t>
      </w:r>
      <w:r>
        <w:rPr>
          <w:sz w:val="24"/>
        </w:rPr>
        <w:t>供应商</w:t>
      </w:r>
      <w:r>
        <w:rPr>
          <w:rFonts w:hint="eastAsia"/>
          <w:sz w:val="24"/>
        </w:rPr>
        <w:t>承担由此产生的相关费用。否则，采购人有权对其进行处罚。</w:t>
      </w:r>
    </w:p>
    <w:p w14:paraId="1682A3A9">
      <w:pPr>
        <w:spacing w:line="360" w:lineRule="auto"/>
        <w:ind w:firstLine="480" w:firstLineChars="200"/>
        <w:rPr>
          <w:sz w:val="24"/>
        </w:rPr>
      </w:pPr>
      <w:r>
        <w:rPr>
          <w:rFonts w:hint="eastAsia"/>
          <w:sz w:val="24"/>
        </w:rPr>
        <w:t>9、本项目禁止转、承包或分包给其他单位，禁止利用采购人现有资产进行不法经营。在服务范围内提供的其他便民服务实施前须向采购人书面报批后方可实施。</w:t>
      </w:r>
    </w:p>
    <w:p w14:paraId="70DE79D9">
      <w:pPr>
        <w:spacing w:line="360" w:lineRule="auto"/>
        <w:ind w:firstLine="480" w:firstLineChars="200"/>
        <w:rPr>
          <w:sz w:val="24"/>
        </w:rPr>
      </w:pPr>
      <w:r>
        <w:rPr>
          <w:rFonts w:hint="eastAsia"/>
          <w:sz w:val="24"/>
        </w:rPr>
        <w:t>(四)食品质量要求和标准</w:t>
      </w:r>
    </w:p>
    <w:p w14:paraId="7A5012AE">
      <w:pPr>
        <w:spacing w:line="360" w:lineRule="auto"/>
        <w:ind w:firstLine="480" w:firstLineChars="200"/>
        <w:rPr>
          <w:sz w:val="24"/>
        </w:rPr>
      </w:pPr>
      <w:r>
        <w:rPr>
          <w:rFonts w:hint="eastAsia"/>
          <w:sz w:val="24"/>
        </w:rPr>
        <w:t>1、食品及原材料要求</w:t>
      </w:r>
    </w:p>
    <w:p w14:paraId="29FDAA5A">
      <w:pPr>
        <w:spacing w:line="360" w:lineRule="auto"/>
        <w:ind w:firstLine="480" w:firstLineChars="200"/>
        <w:rPr>
          <w:sz w:val="24"/>
        </w:rPr>
      </w:pPr>
      <w:r>
        <w:rPr>
          <w:rFonts w:hint="eastAsia"/>
          <w:sz w:val="24"/>
        </w:rPr>
        <w:t>1.1供餐所需食材及原材料由采购人另行确定供货方供货，每批次食材及原材料送到食堂时，</w:t>
      </w:r>
      <w:r>
        <w:rPr>
          <w:sz w:val="24"/>
        </w:rPr>
        <w:t>供应商</w:t>
      </w:r>
      <w:r>
        <w:rPr>
          <w:rFonts w:hint="eastAsia"/>
          <w:sz w:val="24"/>
        </w:rPr>
        <w:t>须参与验收，并对采购人负责。确保所有食材及原材料无污染，保证符合国家食品卫生要求，保证食材品质，及时清理过期、霉变食物。同时须将所有食物分区分拣、清洗干净，并按规定的要求切配、放置、储存。</w:t>
      </w:r>
    </w:p>
    <w:p w14:paraId="0DFBC1EA">
      <w:pPr>
        <w:spacing w:line="360" w:lineRule="auto"/>
        <w:ind w:firstLine="480" w:firstLineChars="200"/>
        <w:rPr>
          <w:sz w:val="24"/>
        </w:rPr>
      </w:pPr>
      <w:r>
        <w:rPr>
          <w:rFonts w:hint="eastAsia"/>
          <w:sz w:val="24"/>
        </w:rPr>
        <w:t>1.2饭菜现做现炒，批量制作，少放调味品，开展减盐减油专项行动，尽量保持菜品的原汁原味。份量充足，保证菜品色、香、味和温度。</w:t>
      </w:r>
    </w:p>
    <w:p w14:paraId="692C905F">
      <w:pPr>
        <w:spacing w:line="360" w:lineRule="auto"/>
        <w:ind w:firstLine="480" w:firstLineChars="200"/>
        <w:rPr>
          <w:sz w:val="24"/>
        </w:rPr>
      </w:pPr>
      <w:r>
        <w:rPr>
          <w:rFonts w:hint="eastAsia"/>
          <w:sz w:val="24"/>
        </w:rPr>
        <w:t>1.3合理安排食材，不得将不合格食品或剩饭剩菜加热后再次进行供应。</w:t>
      </w:r>
    </w:p>
    <w:p w14:paraId="5BD00AC5">
      <w:pPr>
        <w:spacing w:line="360" w:lineRule="auto"/>
        <w:ind w:firstLine="480" w:firstLineChars="200"/>
        <w:rPr>
          <w:sz w:val="24"/>
        </w:rPr>
      </w:pPr>
      <w:r>
        <w:rPr>
          <w:rFonts w:hint="eastAsia"/>
          <w:sz w:val="24"/>
        </w:rPr>
        <w:t>2、食材产品保管</w:t>
      </w:r>
    </w:p>
    <w:p w14:paraId="0731D62F">
      <w:pPr>
        <w:spacing w:line="360" w:lineRule="auto"/>
        <w:ind w:firstLine="480" w:firstLineChars="200"/>
        <w:rPr>
          <w:sz w:val="24"/>
        </w:rPr>
      </w:pPr>
      <w:r>
        <w:rPr>
          <w:rFonts w:hint="eastAsia"/>
          <w:sz w:val="24"/>
        </w:rPr>
        <w:t>2.1</w:t>
      </w:r>
      <w:r>
        <w:rPr>
          <w:sz w:val="24"/>
        </w:rPr>
        <w:t>供应商</w:t>
      </w:r>
      <w:r>
        <w:rPr>
          <w:rFonts w:hint="eastAsia"/>
          <w:sz w:val="24"/>
        </w:rPr>
        <w:t>应按要求合理安排所需食材的储藏要求。</w:t>
      </w:r>
    </w:p>
    <w:p w14:paraId="2D150CF9">
      <w:pPr>
        <w:spacing w:line="360" w:lineRule="auto"/>
        <w:ind w:firstLine="480" w:firstLineChars="200"/>
        <w:rPr>
          <w:sz w:val="24"/>
        </w:rPr>
      </w:pPr>
      <w:r>
        <w:rPr>
          <w:rFonts w:hint="eastAsia"/>
          <w:sz w:val="24"/>
        </w:rPr>
        <w:t>2.2食堂劳务外包企业应保证转包装容器的清洁卫生符合国家、行业的相关规定。周转包装容器在每次配送前应进行清洗消毒，防止食品在运输及接收过程中受到污染。</w:t>
      </w:r>
    </w:p>
    <w:p w14:paraId="3EC2A837">
      <w:pPr>
        <w:spacing w:line="360" w:lineRule="auto"/>
        <w:ind w:firstLine="480" w:firstLineChars="200"/>
        <w:rPr>
          <w:sz w:val="24"/>
        </w:rPr>
      </w:pPr>
      <w:r>
        <w:rPr>
          <w:rFonts w:hint="eastAsia"/>
          <w:sz w:val="24"/>
        </w:rPr>
        <w:t>3、清洁卫生</w:t>
      </w:r>
    </w:p>
    <w:p w14:paraId="2367200A">
      <w:pPr>
        <w:spacing w:line="360" w:lineRule="auto"/>
        <w:ind w:firstLine="480" w:firstLineChars="200"/>
        <w:rPr>
          <w:sz w:val="24"/>
        </w:rPr>
      </w:pPr>
      <w:r>
        <w:rPr>
          <w:rFonts w:hint="eastAsia"/>
          <w:sz w:val="24"/>
        </w:rPr>
        <w:t>3.1</w:t>
      </w:r>
      <w:r>
        <w:rPr>
          <w:sz w:val="24"/>
        </w:rPr>
        <w:t>供应商</w:t>
      </w:r>
      <w:r>
        <w:rPr>
          <w:rFonts w:hint="eastAsia"/>
          <w:sz w:val="24"/>
        </w:rPr>
        <w:t>应对各种</w:t>
      </w:r>
      <w:bookmarkStart w:id="3" w:name="OLE_LINK6"/>
      <w:r>
        <w:rPr>
          <w:rFonts w:hint="eastAsia"/>
          <w:sz w:val="24"/>
        </w:rPr>
        <w:t>食堂工具、餐具、容器</w:t>
      </w:r>
      <w:bookmarkEnd w:id="3"/>
      <w:r>
        <w:rPr>
          <w:rFonts w:hint="eastAsia"/>
          <w:sz w:val="24"/>
        </w:rPr>
        <w:t>及时清洗，严格进行消毒，注意食堂环境卫生，确保厨房、餐厅、供餐间、制作间、贮藏间保持规范、有序、整洁。</w:t>
      </w:r>
    </w:p>
    <w:p w14:paraId="16422A58">
      <w:pPr>
        <w:spacing w:line="360" w:lineRule="auto"/>
        <w:ind w:firstLine="480" w:firstLineChars="200"/>
        <w:rPr>
          <w:sz w:val="24"/>
        </w:rPr>
      </w:pPr>
      <w:r>
        <w:rPr>
          <w:rFonts w:hint="eastAsia"/>
          <w:sz w:val="24"/>
        </w:rPr>
        <w:t>3.2 油烟机定期日常维护清洗保持干净，每学期视实际情况向采购人汇报申请专业清洗，达到国家规范及卫生部门的规定要求，相关费用由采购人承担。</w:t>
      </w:r>
    </w:p>
    <w:p w14:paraId="5C092D79">
      <w:pPr>
        <w:spacing w:line="360" w:lineRule="auto"/>
        <w:ind w:firstLine="480" w:firstLineChars="200"/>
        <w:rPr>
          <w:sz w:val="24"/>
        </w:rPr>
      </w:pPr>
      <w:r>
        <w:rPr>
          <w:rFonts w:hint="eastAsia"/>
          <w:sz w:val="24"/>
        </w:rPr>
        <w:t>3.3</w:t>
      </w:r>
      <w:r>
        <w:rPr>
          <w:sz w:val="24"/>
        </w:rPr>
        <w:t>供应商</w:t>
      </w:r>
      <w:r>
        <w:rPr>
          <w:rFonts w:hint="eastAsia"/>
          <w:sz w:val="24"/>
        </w:rPr>
        <w:t>须做好厨余垃圾的收集处理，油烟、污水处理按当地环保部门要求达标无害排放。不得流入市场被违法利用，不得危害人民身体健康。</w:t>
      </w:r>
    </w:p>
    <w:p w14:paraId="22221F54">
      <w:pPr>
        <w:spacing w:line="360" w:lineRule="auto"/>
        <w:ind w:firstLine="480" w:firstLineChars="200"/>
        <w:rPr>
          <w:sz w:val="24"/>
        </w:rPr>
      </w:pPr>
      <w:r>
        <w:rPr>
          <w:rFonts w:hint="eastAsia"/>
          <w:sz w:val="24"/>
        </w:rPr>
        <w:t>3.4做好除"四害"和"三防"工作，建立长效机制。</w:t>
      </w:r>
    </w:p>
    <w:p w14:paraId="37C102AC">
      <w:pPr>
        <w:spacing w:line="360" w:lineRule="auto"/>
        <w:ind w:firstLine="480" w:firstLineChars="200"/>
        <w:rPr>
          <w:sz w:val="24"/>
        </w:rPr>
      </w:pPr>
      <w:r>
        <w:rPr>
          <w:rFonts w:hint="eastAsia"/>
          <w:sz w:val="24"/>
        </w:rPr>
        <w:t>3.5厨房各项卫生、食品及原料卫生、相关设施设备卫生、工作人员卫生和操作必须符合&lt;&lt;食品安全法&gt;&gt;及&lt;&lt;卫生防疫要求&gt;&gt;。</w:t>
      </w:r>
    </w:p>
    <w:p w14:paraId="25084A0B">
      <w:pPr>
        <w:spacing w:line="360" w:lineRule="auto"/>
        <w:ind w:firstLine="480" w:firstLineChars="200"/>
        <w:rPr>
          <w:sz w:val="24"/>
        </w:rPr>
      </w:pPr>
      <w:r>
        <w:rPr>
          <w:rFonts w:hint="eastAsia"/>
          <w:sz w:val="24"/>
        </w:rPr>
        <w:t>4、安全生产</w:t>
      </w:r>
    </w:p>
    <w:p w14:paraId="47A0CFD2">
      <w:pPr>
        <w:spacing w:line="360" w:lineRule="auto"/>
        <w:ind w:firstLine="480" w:firstLineChars="200"/>
        <w:rPr>
          <w:sz w:val="24"/>
        </w:rPr>
      </w:pPr>
      <w:r>
        <w:rPr>
          <w:rFonts w:hint="eastAsia"/>
          <w:sz w:val="24"/>
        </w:rPr>
        <w:t>4.1</w:t>
      </w:r>
      <w:r>
        <w:rPr>
          <w:sz w:val="24"/>
        </w:rPr>
        <w:t>供应商</w:t>
      </w:r>
      <w:r>
        <w:rPr>
          <w:rFonts w:hint="eastAsia"/>
          <w:sz w:val="24"/>
        </w:rPr>
        <w:t>须保证提供的餐品及服务均符合《中华人民共和国食品安全法》及《实施条例》、《餐饮业食品卫生管理用餐配送单位卫生规范》等国家法律法规及地方政府有关规定，质量标准均按国家颁布的最新标准执行。</w:t>
      </w:r>
      <w:r>
        <w:rPr>
          <w:sz w:val="24"/>
        </w:rPr>
        <w:t>供应商</w:t>
      </w:r>
      <w:r>
        <w:rPr>
          <w:rFonts w:hint="eastAsia"/>
          <w:sz w:val="24"/>
        </w:rPr>
        <w:t>如有违反承担全部法律责任及赔偿损失。</w:t>
      </w:r>
    </w:p>
    <w:p w14:paraId="5C5A2964">
      <w:pPr>
        <w:spacing w:line="360" w:lineRule="auto"/>
        <w:ind w:firstLine="480" w:firstLineChars="200"/>
        <w:rPr>
          <w:sz w:val="24"/>
        </w:rPr>
      </w:pPr>
      <w:r>
        <w:rPr>
          <w:rFonts w:hint="eastAsia"/>
          <w:sz w:val="24"/>
        </w:rPr>
        <w:t>4.2</w:t>
      </w:r>
      <w:r>
        <w:rPr>
          <w:sz w:val="24"/>
        </w:rPr>
        <w:t>供应商</w:t>
      </w:r>
      <w:r>
        <w:rPr>
          <w:rFonts w:hint="eastAsia"/>
          <w:sz w:val="24"/>
        </w:rPr>
        <w:t>须协助学校严把原材料采购验收关，防止霉烂变质、来源不明食品流向餐桌，凡采购人向相关食材</w:t>
      </w:r>
      <w:r>
        <w:rPr>
          <w:sz w:val="24"/>
        </w:rPr>
        <w:t>供应商</w:t>
      </w:r>
      <w:r>
        <w:rPr>
          <w:rFonts w:hint="eastAsia"/>
          <w:sz w:val="24"/>
        </w:rPr>
        <w:t>购进的食品物品，都必须经采购人相关负责人验质认可签字后，方能进入食堂入库，从而做到从原材料质量保安全。</w:t>
      </w:r>
    </w:p>
    <w:p w14:paraId="7AF9726A">
      <w:pPr>
        <w:spacing w:line="360" w:lineRule="auto"/>
        <w:ind w:firstLine="480" w:firstLineChars="200"/>
        <w:rPr>
          <w:sz w:val="24"/>
        </w:rPr>
      </w:pPr>
      <w:r>
        <w:rPr>
          <w:rFonts w:hint="eastAsia"/>
          <w:sz w:val="24"/>
        </w:rPr>
        <w:t>4.3</w:t>
      </w:r>
      <w:r>
        <w:rPr>
          <w:sz w:val="24"/>
        </w:rPr>
        <w:t>供应商</w:t>
      </w:r>
      <w:r>
        <w:rPr>
          <w:rFonts w:hint="eastAsia"/>
          <w:sz w:val="24"/>
        </w:rPr>
        <w:t>须严把餐具消毒关，规范使用消毒设施设备，严禁提供未消毒和消毒不合格的餐具。</w:t>
      </w:r>
    </w:p>
    <w:p w14:paraId="24321CB7">
      <w:pPr>
        <w:spacing w:line="360" w:lineRule="auto"/>
        <w:ind w:firstLine="480" w:firstLineChars="200"/>
        <w:rPr>
          <w:sz w:val="24"/>
        </w:rPr>
      </w:pPr>
      <w:r>
        <w:rPr>
          <w:rFonts w:hint="eastAsia"/>
          <w:sz w:val="24"/>
        </w:rPr>
        <w:t>4.4</w:t>
      </w:r>
      <w:r>
        <w:rPr>
          <w:sz w:val="24"/>
        </w:rPr>
        <w:t>供应商</w:t>
      </w:r>
      <w:r>
        <w:rPr>
          <w:rFonts w:hint="eastAsia"/>
          <w:sz w:val="24"/>
        </w:rPr>
        <w:t>须严把加工关，在操作中坚持不加工腐烂、变质及不合格的原材料食品；做到荤、素分开，生、熟分离，专具专用；对食材按规定蒸熟煮透，做到从操作过程保安全。不得制售冷荤类食品、生食类食品、裱花蛋糕，不得加工制作四季豆、鲜黄花菜、野生蘑菇、发芽土豆等高风险食品。</w:t>
      </w:r>
    </w:p>
    <w:p w14:paraId="41562ED6">
      <w:pPr>
        <w:spacing w:line="360" w:lineRule="auto"/>
        <w:ind w:firstLine="480" w:firstLineChars="200"/>
        <w:rPr>
          <w:sz w:val="24"/>
        </w:rPr>
      </w:pPr>
      <w:r>
        <w:rPr>
          <w:rFonts w:hint="eastAsia"/>
          <w:sz w:val="24"/>
        </w:rPr>
        <w:t>4.5</w:t>
      </w:r>
      <w:r>
        <w:rPr>
          <w:sz w:val="24"/>
        </w:rPr>
        <w:t>供应商</w:t>
      </w:r>
      <w:r>
        <w:rPr>
          <w:rFonts w:hint="eastAsia"/>
          <w:sz w:val="24"/>
        </w:rPr>
        <w:t>须严把准入关，防意外保安全。做到有毒有害物品远离食堂存放。</w:t>
      </w:r>
    </w:p>
    <w:p w14:paraId="21B75B1D">
      <w:pPr>
        <w:spacing w:line="360" w:lineRule="auto"/>
        <w:ind w:firstLine="480" w:firstLineChars="200"/>
        <w:rPr>
          <w:sz w:val="24"/>
        </w:rPr>
      </w:pPr>
      <w:r>
        <w:rPr>
          <w:rFonts w:hint="eastAsia"/>
          <w:sz w:val="24"/>
        </w:rPr>
        <w:t>4.6</w:t>
      </w:r>
      <w:r>
        <w:rPr>
          <w:sz w:val="24"/>
        </w:rPr>
        <w:t>供应商</w:t>
      </w:r>
      <w:r>
        <w:rPr>
          <w:rFonts w:hint="eastAsia"/>
          <w:sz w:val="24"/>
        </w:rPr>
        <w:t>须严把食品留样关，必须按照要求做好食品留样工作，防止食品留样流于形式。留样员在售前对当餐的食品取样保鲜留存不低于48小时，重量</w:t>
      </w:r>
      <w:r>
        <w:rPr>
          <w:rFonts w:hint="eastAsia" w:ascii="宋体" w:hAnsi="宋体" w:eastAsia="宋体" w:cs="宋体"/>
          <w:sz w:val="24"/>
        </w:rPr>
        <w:t>≧</w:t>
      </w:r>
      <w:r>
        <w:rPr>
          <w:rFonts w:hint="eastAsia"/>
          <w:sz w:val="24"/>
        </w:rPr>
        <w:t>125g，菜品留样按规定做到双人双锁管理，定期检查留样冰箱是否温度达标正常运行，留样员务必对当餐留样食品按要求作详细记录。</w:t>
      </w:r>
    </w:p>
    <w:p w14:paraId="0F514A39">
      <w:pPr>
        <w:spacing w:line="360" w:lineRule="auto"/>
        <w:ind w:firstLine="480" w:firstLineChars="200"/>
        <w:rPr>
          <w:sz w:val="24"/>
        </w:rPr>
      </w:pPr>
      <w:r>
        <w:rPr>
          <w:rFonts w:hint="eastAsia"/>
          <w:sz w:val="24"/>
        </w:rPr>
        <w:t>4.7</w:t>
      </w:r>
      <w:r>
        <w:rPr>
          <w:sz w:val="24"/>
        </w:rPr>
        <w:t>供应商</w:t>
      </w:r>
      <w:r>
        <w:rPr>
          <w:rFonts w:hint="eastAsia"/>
          <w:sz w:val="24"/>
        </w:rPr>
        <w:t>应加强防火、防盗、防爆等安全保卫工作，定期检查电源、货源，对易燃物品应妥善使用和保管、确保安全无事故。</w:t>
      </w:r>
    </w:p>
    <w:p w14:paraId="0CDA88EB">
      <w:pPr>
        <w:spacing w:line="360" w:lineRule="auto"/>
        <w:ind w:firstLine="480" w:firstLineChars="200"/>
        <w:rPr>
          <w:sz w:val="24"/>
        </w:rPr>
      </w:pPr>
      <w:r>
        <w:rPr>
          <w:rFonts w:hint="eastAsia"/>
          <w:sz w:val="24"/>
        </w:rPr>
        <w:t>4.8在就餐过程中因</w:t>
      </w:r>
      <w:r>
        <w:rPr>
          <w:sz w:val="24"/>
        </w:rPr>
        <w:t>供应商</w:t>
      </w:r>
      <w:r>
        <w:rPr>
          <w:rFonts w:hint="eastAsia"/>
          <w:sz w:val="24"/>
        </w:rPr>
        <w:t>食品安全及其他原因引起发生的安全事故、人身意外和损害及第三方事故均由</w:t>
      </w:r>
      <w:r>
        <w:rPr>
          <w:sz w:val="24"/>
        </w:rPr>
        <w:t>供应商</w:t>
      </w:r>
      <w:r>
        <w:rPr>
          <w:rFonts w:hint="eastAsia"/>
          <w:sz w:val="24"/>
        </w:rPr>
        <w:t>承担全部的赔偿责任。</w:t>
      </w:r>
    </w:p>
    <w:p w14:paraId="3E06A4C5">
      <w:pPr>
        <w:spacing w:line="360" w:lineRule="auto"/>
        <w:ind w:firstLine="480" w:firstLineChars="200"/>
        <w:rPr>
          <w:sz w:val="24"/>
        </w:rPr>
      </w:pPr>
      <w:r>
        <w:rPr>
          <w:rFonts w:hint="eastAsia"/>
          <w:sz w:val="24"/>
        </w:rPr>
        <w:t>5、设备管理</w:t>
      </w:r>
    </w:p>
    <w:p w14:paraId="1B22C850">
      <w:pPr>
        <w:spacing w:line="360" w:lineRule="auto"/>
        <w:ind w:firstLine="480" w:firstLineChars="200"/>
        <w:rPr>
          <w:sz w:val="24"/>
        </w:rPr>
      </w:pPr>
      <w:r>
        <w:rPr>
          <w:rFonts w:hint="eastAsia"/>
          <w:sz w:val="24"/>
        </w:rPr>
        <w:t>5.1采购人提供现有房屋场地(含操作间、仓库等)、厨房设施设备、桌椅、餐具、空调、消毒柜、收费刷卡等设备给</w:t>
      </w:r>
      <w:r>
        <w:rPr>
          <w:sz w:val="24"/>
        </w:rPr>
        <w:t>供应商</w:t>
      </w:r>
      <w:r>
        <w:rPr>
          <w:rFonts w:hint="eastAsia"/>
          <w:sz w:val="24"/>
        </w:rPr>
        <w:t>无偿使用。</w:t>
      </w:r>
      <w:r>
        <w:rPr>
          <w:sz w:val="24"/>
        </w:rPr>
        <w:t>供应商</w:t>
      </w:r>
      <w:r>
        <w:rPr>
          <w:rFonts w:hint="eastAsia"/>
          <w:sz w:val="24"/>
        </w:rPr>
        <w:t>依照设备清单对采购人移交的设施设备进行保管、维护，如人为损坏由</w:t>
      </w:r>
      <w:r>
        <w:rPr>
          <w:sz w:val="24"/>
        </w:rPr>
        <w:t>供应商</w:t>
      </w:r>
      <w:r>
        <w:rPr>
          <w:rFonts w:hint="eastAsia"/>
          <w:sz w:val="24"/>
        </w:rPr>
        <w:t>负责维护维修，如因维修不到位产生的安全事故，由</w:t>
      </w:r>
      <w:r>
        <w:rPr>
          <w:sz w:val="24"/>
        </w:rPr>
        <w:t>供应商</w:t>
      </w:r>
      <w:r>
        <w:rPr>
          <w:rFonts w:hint="eastAsia"/>
          <w:sz w:val="24"/>
        </w:rPr>
        <w:t>承担全部责任。现有食堂场地和设备设施需要改进的，由</w:t>
      </w:r>
      <w:r>
        <w:rPr>
          <w:sz w:val="24"/>
        </w:rPr>
        <w:t>供应商</w:t>
      </w:r>
      <w:r>
        <w:rPr>
          <w:rFonts w:hint="eastAsia"/>
          <w:sz w:val="24"/>
        </w:rPr>
        <w:t>提出，采购人负责改造及更换添置。</w:t>
      </w:r>
    </w:p>
    <w:p w14:paraId="50BA33CD">
      <w:pPr>
        <w:spacing w:line="360" w:lineRule="auto"/>
        <w:ind w:firstLine="480" w:firstLineChars="200"/>
        <w:rPr>
          <w:sz w:val="24"/>
        </w:rPr>
      </w:pPr>
      <w:r>
        <w:rPr>
          <w:rFonts w:hint="eastAsia"/>
          <w:sz w:val="24"/>
        </w:rPr>
        <w:t>5.2经营期内如因老化无法继续使用的设备设施，由</w:t>
      </w:r>
      <w:r>
        <w:rPr>
          <w:sz w:val="24"/>
        </w:rPr>
        <w:t>供应商</w:t>
      </w:r>
      <w:r>
        <w:rPr>
          <w:rFonts w:hint="eastAsia"/>
          <w:sz w:val="24"/>
        </w:rPr>
        <w:t>提交申请，采购人负责购买补充。</w:t>
      </w:r>
    </w:p>
    <w:p w14:paraId="35F18C80">
      <w:pPr>
        <w:spacing w:line="360" w:lineRule="auto"/>
        <w:ind w:firstLine="480" w:firstLineChars="200"/>
        <w:rPr>
          <w:sz w:val="24"/>
        </w:rPr>
      </w:pPr>
      <w:r>
        <w:rPr>
          <w:rFonts w:hint="eastAsia"/>
          <w:sz w:val="24"/>
        </w:rPr>
        <w:t>5.3</w:t>
      </w:r>
      <w:r>
        <w:rPr>
          <w:sz w:val="24"/>
        </w:rPr>
        <w:t>供应商</w:t>
      </w:r>
      <w:r>
        <w:rPr>
          <w:rFonts w:hint="eastAsia"/>
          <w:sz w:val="24"/>
        </w:rPr>
        <w:t>在未得到采购人同意的情况下，不得随意拆除现有设备设施，不得擅自更改房屋结构，不得遗失采购人电器、物品、用具。如因</w:t>
      </w:r>
      <w:r>
        <w:rPr>
          <w:sz w:val="24"/>
        </w:rPr>
        <w:t>供应商</w:t>
      </w:r>
      <w:r>
        <w:rPr>
          <w:rFonts w:hint="eastAsia"/>
          <w:sz w:val="24"/>
        </w:rPr>
        <w:t>责任导致房屋毁损、设备损坏或丢失，由</w:t>
      </w:r>
      <w:r>
        <w:rPr>
          <w:sz w:val="24"/>
        </w:rPr>
        <w:t>供应商</w:t>
      </w:r>
      <w:r>
        <w:rPr>
          <w:rFonts w:hint="eastAsia"/>
          <w:sz w:val="24"/>
        </w:rPr>
        <w:t>承担全部责任并照价赔偿。</w:t>
      </w:r>
    </w:p>
    <w:p w14:paraId="2F5253A1">
      <w:pPr>
        <w:spacing w:line="360" w:lineRule="auto"/>
        <w:ind w:firstLine="480" w:firstLineChars="200"/>
        <w:rPr>
          <w:sz w:val="24"/>
        </w:rPr>
      </w:pPr>
      <w:r>
        <w:rPr>
          <w:rFonts w:hint="eastAsia"/>
          <w:sz w:val="24"/>
        </w:rPr>
        <w:t>5.4</w:t>
      </w:r>
      <w:r>
        <w:rPr>
          <w:sz w:val="24"/>
        </w:rPr>
        <w:t>供应商</w:t>
      </w:r>
      <w:r>
        <w:rPr>
          <w:rFonts w:hint="eastAsia"/>
          <w:sz w:val="24"/>
        </w:rPr>
        <w:t>负责保管和使用学校食堂的设施设备，若人为损坏或操作不当造成损失，由</w:t>
      </w:r>
      <w:r>
        <w:rPr>
          <w:sz w:val="24"/>
        </w:rPr>
        <w:t>供应商</w:t>
      </w:r>
      <w:r>
        <w:rPr>
          <w:rFonts w:hint="eastAsia"/>
          <w:sz w:val="24"/>
        </w:rPr>
        <w:t>责任人负责照价赔偿。</w:t>
      </w:r>
    </w:p>
    <w:p w14:paraId="0DAFA142">
      <w:pPr>
        <w:spacing w:line="360" w:lineRule="auto"/>
        <w:ind w:firstLine="480" w:firstLineChars="200"/>
        <w:rPr>
          <w:sz w:val="24"/>
        </w:rPr>
      </w:pPr>
      <w:r>
        <w:rPr>
          <w:rFonts w:hint="eastAsia"/>
          <w:sz w:val="24"/>
        </w:rPr>
        <w:t>(五)风险约定</w:t>
      </w:r>
    </w:p>
    <w:p w14:paraId="2A19F529">
      <w:pPr>
        <w:spacing w:line="360" w:lineRule="auto"/>
        <w:ind w:firstLine="480" w:firstLineChars="200"/>
        <w:rPr>
          <w:sz w:val="24"/>
        </w:rPr>
      </w:pPr>
      <w:r>
        <w:rPr>
          <w:rFonts w:hint="eastAsia"/>
          <w:sz w:val="24"/>
        </w:rPr>
        <w:t>发生下列情况之一的，采购人有权无条件解除合同并要求</w:t>
      </w:r>
      <w:r>
        <w:rPr>
          <w:sz w:val="24"/>
        </w:rPr>
        <w:t>供应商</w:t>
      </w:r>
      <w:r>
        <w:rPr>
          <w:rFonts w:hint="eastAsia"/>
          <w:sz w:val="24"/>
        </w:rPr>
        <w:t>支付违约金和赔偿。</w:t>
      </w:r>
    </w:p>
    <w:p w14:paraId="2694250C">
      <w:pPr>
        <w:spacing w:line="360" w:lineRule="auto"/>
        <w:ind w:firstLine="480" w:firstLineChars="200"/>
        <w:rPr>
          <w:sz w:val="24"/>
        </w:rPr>
      </w:pPr>
      <w:r>
        <w:rPr>
          <w:rFonts w:hint="eastAsia"/>
          <w:sz w:val="24"/>
        </w:rPr>
        <w:t>1</w:t>
      </w:r>
      <w:r>
        <w:rPr>
          <w:sz w:val="24"/>
        </w:rPr>
        <w:t>供应商</w:t>
      </w:r>
      <w:r>
        <w:rPr>
          <w:rFonts w:hint="eastAsia"/>
          <w:sz w:val="24"/>
        </w:rPr>
        <w:t>违反食品安全卫生法律规定，导致食堂出现食物中毒事件等食品安全事故的，</w:t>
      </w:r>
      <w:r>
        <w:rPr>
          <w:sz w:val="24"/>
        </w:rPr>
        <w:t>供应商</w:t>
      </w:r>
      <w:r>
        <w:rPr>
          <w:rFonts w:hint="eastAsia"/>
          <w:sz w:val="24"/>
        </w:rPr>
        <w:t>应承担一切赔偿责任。采购人有权解除或终止合同并追究相关法律责任和经济赔偿。</w:t>
      </w:r>
    </w:p>
    <w:p w14:paraId="0288F6BA">
      <w:pPr>
        <w:spacing w:line="360" w:lineRule="auto"/>
        <w:ind w:firstLine="480" w:firstLineChars="200"/>
        <w:rPr>
          <w:sz w:val="24"/>
        </w:rPr>
      </w:pPr>
      <w:r>
        <w:rPr>
          <w:rFonts w:hint="eastAsia"/>
          <w:sz w:val="24"/>
        </w:rPr>
        <w:t>2</w:t>
      </w:r>
      <w:r>
        <w:rPr>
          <w:sz w:val="24"/>
        </w:rPr>
        <w:t>供应商</w:t>
      </w:r>
      <w:r>
        <w:rPr>
          <w:rFonts w:hint="eastAsia"/>
          <w:sz w:val="24"/>
        </w:rPr>
        <w:t>提供的饭菜分量少、口味差或卫生不合格，采购人据此对</w:t>
      </w:r>
      <w:r>
        <w:rPr>
          <w:sz w:val="24"/>
        </w:rPr>
        <w:t>供应商</w:t>
      </w:r>
      <w:r>
        <w:rPr>
          <w:rFonts w:hint="eastAsia"/>
          <w:sz w:val="24"/>
        </w:rPr>
        <w:t>提出整改要求的，</w:t>
      </w:r>
      <w:r>
        <w:rPr>
          <w:sz w:val="24"/>
        </w:rPr>
        <w:t>供应商</w:t>
      </w:r>
      <w:r>
        <w:rPr>
          <w:rFonts w:hint="eastAsia"/>
          <w:sz w:val="24"/>
        </w:rPr>
        <w:t>应在一日内整改到位。</w:t>
      </w:r>
      <w:r>
        <w:rPr>
          <w:sz w:val="24"/>
        </w:rPr>
        <w:t>供应商</w:t>
      </w:r>
      <w:r>
        <w:rPr>
          <w:rFonts w:hint="eastAsia"/>
          <w:sz w:val="24"/>
        </w:rPr>
        <w:t>每延期一日完成整改,应按每日300元的标准向采购人支付延期整改补偿金。延期超过三日的，采购人有权单方解除合同，并要求</w:t>
      </w:r>
      <w:r>
        <w:rPr>
          <w:sz w:val="24"/>
        </w:rPr>
        <w:t>供应商</w:t>
      </w:r>
      <w:r>
        <w:rPr>
          <w:rFonts w:hint="eastAsia"/>
          <w:sz w:val="24"/>
        </w:rPr>
        <w:t>赔偿。</w:t>
      </w:r>
    </w:p>
    <w:p w14:paraId="3965EE83">
      <w:pPr>
        <w:pStyle w:val="9"/>
        <w:spacing w:after="0" w:line="360" w:lineRule="auto"/>
        <w:ind w:firstLine="482"/>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七、结算及付款方法</w:t>
      </w:r>
    </w:p>
    <w:p w14:paraId="20394E46">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1、报价要求：本项目按采购人校外人员培训的实际时间和就餐人数为准，以20元/人/天作为预算价，供应商应对此预算价进行报价，以最终报价作为成交价格。</w:t>
      </w:r>
    </w:p>
    <w:p w14:paraId="517CA1CE">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2、结算价=成交价×每天的实际就餐人数。</w:t>
      </w:r>
    </w:p>
    <w:p w14:paraId="48BD72F7">
      <w:pPr>
        <w:spacing w:line="360" w:lineRule="auto"/>
        <w:ind w:firstLine="480" w:firstLineChars="200"/>
        <w:rPr>
          <w:rFonts w:hint="eastAsia" w:ascii="宋体" w:hAnsi="宋体"/>
          <w:color w:val="auto"/>
          <w:sz w:val="24"/>
        </w:rPr>
      </w:pPr>
      <w:r>
        <w:rPr>
          <w:rFonts w:hint="eastAsia" w:ascii="宋体" w:hAnsi="宋体"/>
          <w:color w:val="000000" w:themeColor="text1"/>
          <w:sz w:val="24"/>
          <w14:textFill>
            <w14:solidFill>
              <w14:schemeClr w14:val="tx1"/>
            </w14:solidFill>
          </w14:textFill>
        </w:rPr>
        <w:t>3</w:t>
      </w:r>
      <w:r>
        <w:rPr>
          <w:rFonts w:hint="eastAsia" w:ascii="宋体" w:hAnsi="宋体"/>
          <w:color w:val="auto"/>
          <w:sz w:val="24"/>
        </w:rPr>
        <w:t>、支付方式：按月支付所应得的劳务费用，由乙方于次月10号之前开具正式税务发票，若乙方未及时开具发票，甲方有权延付款项。</w:t>
      </w:r>
    </w:p>
    <w:p w14:paraId="140A3FC8">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供应商应根据项目要求和实际情况，详细考虑服务期间发生的所有人工工资、绩效奖金、岗前培训费用(包含办理健康证)、劳保福利、社会保险费、公司利润、税费等所有费用后进行报价。如一旦中标，在项目实施中中标价即为合同价，食堂劳务外包企业出现任何遗漏，采购人不再支付任何费用。</w:t>
      </w:r>
    </w:p>
    <w:p w14:paraId="152F2A5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5、供应商所招录引进的食堂从业人员工资标准、绩效考核标准、福利标准及各项保险等，由投标人按相关法律法规办理，否则，造成一切劳务纠纷均由投标人负责，与采购人无关。</w:t>
      </w:r>
    </w:p>
    <w:p w14:paraId="6466DD13">
      <w:pPr>
        <w:spacing w:line="360" w:lineRule="auto"/>
        <w:ind w:firstLine="482" w:firstLineChars="200"/>
        <w:rPr>
          <w:b/>
          <w:bCs/>
          <w:sz w:val="24"/>
        </w:rPr>
      </w:pPr>
      <w:r>
        <w:rPr>
          <w:rFonts w:hint="eastAsia"/>
          <w:b/>
          <w:bCs/>
          <w:sz w:val="24"/>
        </w:rPr>
        <w:t>八、采购人提供的条件</w:t>
      </w:r>
    </w:p>
    <w:p w14:paraId="11A7D0D9">
      <w:pPr>
        <w:spacing w:line="360" w:lineRule="auto"/>
        <w:ind w:firstLine="480" w:firstLineChars="200"/>
        <w:rPr>
          <w:sz w:val="24"/>
        </w:rPr>
      </w:pPr>
      <w:r>
        <w:rPr>
          <w:rFonts w:hint="eastAsia"/>
          <w:sz w:val="24"/>
        </w:rPr>
        <w:t>1、采购人负责提供食堂厨房设备、餐具、桌椅；所有厨房及餐厅配备设施设备(含餐具)；</w:t>
      </w:r>
    </w:p>
    <w:p w14:paraId="75ED838E">
      <w:pPr>
        <w:spacing w:line="360" w:lineRule="auto"/>
        <w:ind w:firstLine="480" w:firstLineChars="200"/>
        <w:rPr>
          <w:sz w:val="24"/>
        </w:rPr>
      </w:pPr>
      <w:r>
        <w:rPr>
          <w:rFonts w:hint="eastAsia"/>
          <w:sz w:val="24"/>
        </w:rPr>
        <w:t>2、采购人负责提供食堂水、电、气费用；</w:t>
      </w:r>
    </w:p>
    <w:p w14:paraId="46DCA60A">
      <w:pPr>
        <w:spacing w:line="360" w:lineRule="auto"/>
        <w:ind w:firstLine="480" w:firstLineChars="200"/>
        <w:rPr>
          <w:sz w:val="24"/>
        </w:rPr>
      </w:pPr>
      <w:r>
        <w:rPr>
          <w:rFonts w:hint="eastAsia"/>
          <w:sz w:val="24"/>
        </w:rPr>
        <w:t>3、采购人协助</w:t>
      </w:r>
      <w:r>
        <w:rPr>
          <w:sz w:val="24"/>
        </w:rPr>
        <w:t>供应商</w:t>
      </w:r>
      <w:r>
        <w:rPr>
          <w:rFonts w:hint="eastAsia"/>
          <w:sz w:val="24"/>
        </w:rPr>
        <w:t>协调与有关部门的关系，为</w:t>
      </w:r>
      <w:r>
        <w:rPr>
          <w:sz w:val="24"/>
        </w:rPr>
        <w:t>供应商</w:t>
      </w:r>
      <w:r>
        <w:rPr>
          <w:rFonts w:hint="eastAsia"/>
          <w:sz w:val="24"/>
        </w:rPr>
        <w:t>创造良好的服务工作环境。</w:t>
      </w:r>
    </w:p>
    <w:p w14:paraId="0CAC6069">
      <w:pPr>
        <w:spacing w:line="360" w:lineRule="auto"/>
        <w:ind w:firstLine="480" w:firstLineChars="200"/>
        <w:rPr>
          <w:sz w:val="24"/>
        </w:rPr>
      </w:pPr>
      <w:r>
        <w:rPr>
          <w:rFonts w:hint="eastAsia"/>
          <w:sz w:val="24"/>
        </w:rPr>
        <w:t>★对于上述项目要求，</w:t>
      </w:r>
      <w:r>
        <w:rPr>
          <w:sz w:val="24"/>
        </w:rPr>
        <w:t>供应商</w:t>
      </w:r>
      <w:r>
        <w:rPr>
          <w:rFonts w:hint="eastAsia"/>
          <w:sz w:val="24"/>
        </w:rPr>
        <w:t>应在投标文件中进行回应，作出承诺及说明。</w:t>
      </w:r>
    </w:p>
    <w:p w14:paraId="5E6BF89B">
      <w:pPr>
        <w:pStyle w:val="9"/>
        <w:spacing w:after="0" w:line="360" w:lineRule="auto"/>
        <w:rPr>
          <w:sz w:val="24"/>
        </w:rPr>
      </w:pPr>
    </w:p>
    <w:bookmarkEnd w:id="0"/>
    <w:p w14:paraId="21012364">
      <w:pPr>
        <w:pStyle w:val="2"/>
        <w:pageBreakBefore/>
        <w:rPr>
          <w:rFonts w:hint="eastAsia" w:ascii="宋体" w:hAnsi="宋体" w:cs="宋体"/>
          <w:b w:val="0"/>
          <w:bCs w:val="0"/>
          <w:szCs w:val="21"/>
        </w:rPr>
        <w:sectPr>
          <w:footerReference r:id="rId3" w:type="default"/>
          <w:pgSz w:w="11906" w:h="16838"/>
          <w:pgMar w:top="1440" w:right="1800" w:bottom="1440" w:left="1800" w:header="851" w:footer="992" w:gutter="0"/>
          <w:pgNumType w:fmt="decimal"/>
          <w:cols w:space="425" w:num="1"/>
          <w:docGrid w:type="lines" w:linePitch="312" w:charSpace="0"/>
        </w:sectPr>
      </w:pPr>
      <w:bookmarkStart w:id="4" w:name="_Toc147612790"/>
      <w:bookmarkStart w:id="5" w:name="_Toc10061"/>
      <w:bookmarkStart w:id="6" w:name="_Toc202959067"/>
      <w:bookmarkStart w:id="7" w:name="_Toc148297291"/>
    </w:p>
    <w:p w14:paraId="7759C5FB">
      <w:pPr>
        <w:pStyle w:val="2"/>
        <w:pageBreakBefore/>
        <w:rPr>
          <w:rFonts w:hint="eastAsia" w:ascii="宋体" w:hAnsi="宋体" w:cs="宋体"/>
          <w:b w:val="0"/>
          <w:bCs w:val="0"/>
          <w:szCs w:val="21"/>
        </w:rPr>
      </w:pPr>
      <w:r>
        <w:rPr>
          <w:rFonts w:hint="eastAsia" w:ascii="宋体" w:hAnsi="宋体" w:cs="宋体"/>
          <w:b w:val="0"/>
          <w:bCs w:val="0"/>
          <w:szCs w:val="21"/>
        </w:rPr>
        <w:t>附页</w:t>
      </w:r>
      <w:r>
        <w:rPr>
          <w:rFonts w:hint="eastAsia" w:ascii="宋体" w:hAnsi="宋体" w:cs="宋体"/>
          <w:b w:val="0"/>
          <w:bCs w:val="0"/>
          <w:szCs w:val="21"/>
          <w:lang w:val="en-US" w:eastAsia="zh-CN"/>
        </w:rPr>
        <w:t>2</w:t>
      </w:r>
      <w:r>
        <w:rPr>
          <w:rFonts w:hint="eastAsia" w:ascii="宋体" w:hAnsi="宋体" w:cs="宋体"/>
          <w:b w:val="0"/>
          <w:bCs w:val="0"/>
          <w:szCs w:val="21"/>
        </w:rPr>
        <w:t>评审因素和标准</w:t>
      </w:r>
      <w:bookmarkEnd w:id="4"/>
      <w:bookmarkEnd w:id="5"/>
      <w:bookmarkEnd w:id="6"/>
      <w:bookmarkEnd w:id="7"/>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452"/>
        <w:gridCol w:w="758"/>
        <w:gridCol w:w="6511"/>
      </w:tblGrid>
      <w:tr w14:paraId="7515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579" w:type="dxa"/>
            <w:gridSpan w:val="2"/>
            <w:vAlign w:val="center"/>
          </w:tcPr>
          <w:p w14:paraId="4A0D28FE">
            <w:pPr>
              <w:jc w:val="center"/>
              <w:rPr>
                <w:rFonts w:ascii="宋体" w:hAnsi="宋体" w:cs="仿宋"/>
                <w:spacing w:val="-4"/>
                <w:szCs w:val="21"/>
              </w:rPr>
            </w:pPr>
            <w:r>
              <w:rPr>
                <w:rFonts w:hint="eastAsia" w:ascii="宋体" w:hAnsi="宋体" w:cs="仿宋_GB2312"/>
                <w:szCs w:val="21"/>
              </w:rPr>
              <w:t>评审因素</w:t>
            </w:r>
          </w:p>
        </w:tc>
        <w:tc>
          <w:tcPr>
            <w:tcW w:w="758" w:type="dxa"/>
            <w:vAlign w:val="center"/>
          </w:tcPr>
          <w:p w14:paraId="75EA6705">
            <w:pPr>
              <w:jc w:val="center"/>
              <w:rPr>
                <w:rFonts w:ascii="宋体" w:hAnsi="宋体" w:cs="仿宋"/>
                <w:spacing w:val="-4"/>
                <w:szCs w:val="21"/>
              </w:rPr>
            </w:pPr>
            <w:r>
              <w:rPr>
                <w:rFonts w:hint="eastAsia" w:ascii="宋体" w:hAnsi="宋体" w:cs="仿宋"/>
                <w:spacing w:val="-4"/>
                <w:szCs w:val="21"/>
              </w:rPr>
              <w:t>分值</w:t>
            </w:r>
          </w:p>
        </w:tc>
        <w:tc>
          <w:tcPr>
            <w:tcW w:w="6511" w:type="dxa"/>
            <w:vAlign w:val="center"/>
          </w:tcPr>
          <w:p w14:paraId="3C7F2759">
            <w:pPr>
              <w:jc w:val="center"/>
              <w:rPr>
                <w:rFonts w:ascii="宋体" w:hAnsi="宋体" w:cs="仿宋"/>
                <w:spacing w:val="-4"/>
                <w:szCs w:val="21"/>
              </w:rPr>
            </w:pPr>
            <w:r>
              <w:rPr>
                <w:rFonts w:hint="eastAsia" w:ascii="宋体" w:hAnsi="宋体" w:cs="仿宋"/>
                <w:spacing w:val="-4"/>
                <w:szCs w:val="21"/>
              </w:rPr>
              <w:t>评分标准</w:t>
            </w:r>
          </w:p>
        </w:tc>
      </w:tr>
      <w:tr w14:paraId="0390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2579" w:type="dxa"/>
            <w:gridSpan w:val="2"/>
            <w:vAlign w:val="center"/>
          </w:tcPr>
          <w:p w14:paraId="4EB67FE6">
            <w:pPr>
              <w:adjustRightInd w:val="0"/>
              <w:snapToGrid w:val="0"/>
              <w:jc w:val="center"/>
              <w:rPr>
                <w:rFonts w:ascii="宋体" w:hAnsi="宋体" w:cs="仿宋_GB2312"/>
                <w:szCs w:val="21"/>
              </w:rPr>
            </w:pPr>
            <w:r>
              <w:rPr>
                <w:rFonts w:hint="eastAsia" w:ascii="宋体" w:hAnsi="宋体" w:cs="仿宋_GB2312"/>
                <w:szCs w:val="21"/>
              </w:rPr>
              <w:t>投标报价</w:t>
            </w:r>
          </w:p>
        </w:tc>
        <w:tc>
          <w:tcPr>
            <w:tcW w:w="758" w:type="dxa"/>
            <w:vAlign w:val="center"/>
          </w:tcPr>
          <w:p w14:paraId="4A5574B1">
            <w:pPr>
              <w:jc w:val="center"/>
              <w:rPr>
                <w:rFonts w:ascii="宋体" w:hAnsi="宋体" w:cs="仿宋"/>
                <w:spacing w:val="-4"/>
                <w:szCs w:val="21"/>
              </w:rPr>
            </w:pPr>
            <w:r>
              <w:rPr>
                <w:rFonts w:hint="eastAsia" w:ascii="宋体" w:hAnsi="宋体" w:cs="仿宋"/>
                <w:spacing w:val="-4"/>
                <w:szCs w:val="21"/>
              </w:rPr>
              <w:t>20分</w:t>
            </w:r>
          </w:p>
        </w:tc>
        <w:tc>
          <w:tcPr>
            <w:tcW w:w="6511" w:type="dxa"/>
          </w:tcPr>
          <w:p w14:paraId="4B6A97D8">
            <w:pPr>
              <w:rPr>
                <w:rFonts w:hint="eastAsia" w:ascii="宋体" w:hAnsi="宋体"/>
                <w:szCs w:val="21"/>
              </w:rPr>
            </w:pPr>
            <w:r>
              <w:rPr>
                <w:rFonts w:hint="eastAsia" w:ascii="宋体" w:hAnsi="宋体"/>
                <w:szCs w:val="21"/>
              </w:rPr>
              <w:t>采用低价优先法计算，即满足招标文件要求且投标价格最低的投标报价为评标基准价，其价格分为满分。其他投标人的报价得分统一按照下列公式计算：</w:t>
            </w:r>
          </w:p>
          <w:p w14:paraId="535028BD">
            <w:pPr>
              <w:rPr>
                <w:rFonts w:ascii="宋体" w:hAnsi="宋体"/>
                <w:szCs w:val="21"/>
              </w:rPr>
            </w:pPr>
            <w:r>
              <w:rPr>
                <w:rFonts w:hint="eastAsia" w:ascii="宋体" w:hAnsi="宋体"/>
                <w:szCs w:val="21"/>
              </w:rPr>
              <w:t>投标报价得分</w:t>
            </w:r>
            <w:r>
              <w:rPr>
                <w:rFonts w:ascii="宋体" w:hAnsi="宋体"/>
                <w:szCs w:val="21"/>
              </w:rPr>
              <w:t>=</w:t>
            </w:r>
            <w:r>
              <w:rPr>
                <w:rFonts w:hint="eastAsia" w:ascii="宋体" w:hAnsi="宋体"/>
                <w:szCs w:val="21"/>
              </w:rPr>
              <w:t>（评标基准价</w:t>
            </w:r>
            <w:r>
              <w:rPr>
                <w:rFonts w:ascii="宋体" w:hAnsi="宋体"/>
                <w:szCs w:val="21"/>
              </w:rPr>
              <w:t>/</w:t>
            </w:r>
            <w:r>
              <w:rPr>
                <w:rFonts w:hint="eastAsia" w:ascii="宋体" w:hAnsi="宋体"/>
                <w:szCs w:val="21"/>
              </w:rPr>
              <w:t>投标报价）×20</w:t>
            </w:r>
          </w:p>
          <w:p w14:paraId="4537AA62">
            <w:pPr>
              <w:pStyle w:val="9"/>
              <w:spacing w:after="0" w:line="240" w:lineRule="auto"/>
              <w:rPr>
                <w:rFonts w:hint="eastAsia" w:ascii="宋体" w:hAnsi="宋体"/>
              </w:rPr>
            </w:pPr>
            <w:r>
              <w:rPr>
                <w:rFonts w:hint="eastAsia" w:ascii="宋体" w:hAnsi="宋体"/>
              </w:rPr>
              <w:t>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4614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127" w:type="dxa"/>
            <w:vMerge w:val="restart"/>
            <w:vAlign w:val="center"/>
          </w:tcPr>
          <w:p w14:paraId="5331EE22">
            <w:pPr>
              <w:adjustRightInd w:val="0"/>
              <w:snapToGrid w:val="0"/>
              <w:jc w:val="center"/>
              <w:rPr>
                <w:rFonts w:hint="eastAsia" w:ascii="宋体" w:hAnsi="宋体" w:cs="仿宋_GB2312"/>
                <w:szCs w:val="21"/>
              </w:rPr>
            </w:pPr>
            <w:r>
              <w:rPr>
                <w:rFonts w:hint="eastAsia" w:ascii="宋体" w:hAnsi="宋体" w:cs="仿宋_GB2312"/>
                <w:szCs w:val="21"/>
              </w:rPr>
              <w:t>技术</w:t>
            </w:r>
          </w:p>
          <w:p w14:paraId="3D8976BA">
            <w:pPr>
              <w:adjustRightInd w:val="0"/>
              <w:snapToGrid w:val="0"/>
              <w:jc w:val="center"/>
              <w:rPr>
                <w:rFonts w:ascii="宋体" w:hAnsi="宋体" w:cs="仿宋_GB2312"/>
                <w:szCs w:val="21"/>
              </w:rPr>
            </w:pPr>
            <w:r>
              <w:rPr>
                <w:rFonts w:hint="eastAsia" w:ascii="宋体" w:hAnsi="宋体" w:cs="仿宋_GB2312"/>
                <w:szCs w:val="21"/>
              </w:rPr>
              <w:t>部分</w:t>
            </w:r>
          </w:p>
          <w:p w14:paraId="5D9C9862">
            <w:pPr>
              <w:adjustRightInd w:val="0"/>
              <w:snapToGrid w:val="0"/>
              <w:jc w:val="center"/>
              <w:rPr>
                <w:rFonts w:hint="eastAsia" w:ascii="宋体" w:hAnsi="宋体" w:cs="仿宋_GB2312"/>
                <w:szCs w:val="21"/>
              </w:rPr>
            </w:pPr>
            <w:r>
              <w:rPr>
                <w:rFonts w:hint="eastAsia" w:ascii="宋体" w:hAnsi="宋体" w:cs="仿宋_GB2312"/>
                <w:szCs w:val="21"/>
              </w:rPr>
              <w:t>（56分）</w:t>
            </w:r>
          </w:p>
        </w:tc>
        <w:tc>
          <w:tcPr>
            <w:tcW w:w="1452" w:type="dxa"/>
            <w:vAlign w:val="center"/>
          </w:tcPr>
          <w:p w14:paraId="5B8EC722">
            <w:pPr>
              <w:adjustRightInd w:val="0"/>
              <w:snapToGrid w:val="0"/>
              <w:spacing w:line="276" w:lineRule="auto"/>
              <w:jc w:val="center"/>
              <w:rPr>
                <w:rFonts w:hint="eastAsia" w:ascii="宋体" w:hAnsi="宋体" w:cs="宋体"/>
                <w:szCs w:val="21"/>
              </w:rPr>
            </w:pPr>
            <w:r>
              <w:rPr>
                <w:rFonts w:hint="eastAsia" w:ascii="宋体" w:hAnsi="宋体"/>
                <w:spacing w:val="7"/>
                <w:sz w:val="20"/>
                <w:szCs w:val="20"/>
              </w:rPr>
              <w:t>整体服务方案</w:t>
            </w:r>
          </w:p>
        </w:tc>
        <w:tc>
          <w:tcPr>
            <w:tcW w:w="758" w:type="dxa"/>
            <w:vAlign w:val="center"/>
          </w:tcPr>
          <w:p w14:paraId="0F7A53E6">
            <w:pPr>
              <w:spacing w:line="276" w:lineRule="auto"/>
              <w:jc w:val="center"/>
              <w:rPr>
                <w:rFonts w:hint="eastAsia" w:ascii="宋体" w:hAnsi="宋体" w:cs="宋体"/>
                <w:sz w:val="22"/>
                <w:szCs w:val="22"/>
              </w:rPr>
            </w:pPr>
            <w:r>
              <w:rPr>
                <w:rFonts w:hint="eastAsia" w:ascii="宋体" w:hAnsi="宋体" w:cs="宋体"/>
                <w:sz w:val="22"/>
                <w:szCs w:val="22"/>
              </w:rPr>
              <w:t>12分</w:t>
            </w:r>
          </w:p>
        </w:tc>
        <w:tc>
          <w:tcPr>
            <w:tcW w:w="6511" w:type="dxa"/>
            <w:vAlign w:val="center"/>
          </w:tcPr>
          <w:p w14:paraId="62F14B49">
            <w:pPr>
              <w:rPr>
                <w:rFonts w:hint="eastAsia" w:ascii="宋体" w:hAnsi="宋体"/>
                <w:szCs w:val="21"/>
              </w:rPr>
            </w:pPr>
            <w:r>
              <w:rPr>
                <w:rFonts w:hint="eastAsia" w:ascii="宋体" w:hAnsi="宋体"/>
                <w:szCs w:val="21"/>
              </w:rPr>
              <w:t>根据投标人提供的整体服务方案进行综合评审，包括</w:t>
            </w:r>
            <w:r>
              <w:rPr>
                <w:rFonts w:ascii="宋体" w:hAnsi="宋体"/>
                <w:szCs w:val="21"/>
              </w:rPr>
              <w:t>对本项目的理解</w:t>
            </w:r>
            <w:r>
              <w:rPr>
                <w:rFonts w:hint="eastAsia" w:ascii="宋体" w:hAnsi="宋体"/>
                <w:szCs w:val="21"/>
              </w:rPr>
              <w:t>及</w:t>
            </w:r>
            <w:r>
              <w:rPr>
                <w:rFonts w:ascii="宋体" w:hAnsi="宋体"/>
                <w:szCs w:val="21"/>
              </w:rPr>
              <w:t>服务</w:t>
            </w:r>
            <w:r>
              <w:rPr>
                <w:rFonts w:hint="eastAsia" w:ascii="宋体" w:hAnsi="宋体"/>
                <w:szCs w:val="21"/>
              </w:rPr>
              <w:t>目标</w:t>
            </w:r>
            <w:r>
              <w:rPr>
                <w:rFonts w:ascii="宋体" w:hAnsi="宋体"/>
                <w:szCs w:val="21"/>
              </w:rPr>
              <w:t>、菜肴的花样品种、服务流程、质量管理</w:t>
            </w:r>
            <w:r>
              <w:rPr>
                <w:rFonts w:hint="eastAsia" w:ascii="宋体" w:hAnsi="宋体"/>
                <w:szCs w:val="21"/>
              </w:rPr>
              <w:t>及保障措施等内容。</w:t>
            </w:r>
          </w:p>
          <w:p w14:paraId="5DE21A37">
            <w:pPr>
              <w:rPr>
                <w:rFonts w:hint="eastAsia" w:ascii="宋体" w:hAnsi="宋体"/>
                <w:b/>
                <w:bCs/>
                <w:szCs w:val="21"/>
              </w:rPr>
            </w:pPr>
            <w:r>
              <w:rPr>
                <w:rFonts w:hint="eastAsia" w:ascii="宋体" w:hAnsi="宋体"/>
                <w:b/>
                <w:bCs/>
                <w:szCs w:val="21"/>
              </w:rPr>
              <w:t>方案完整详细、切合项目实际且可行性强、科学合理性高，完全满足采购需求的</w:t>
            </w:r>
            <w:r>
              <w:rPr>
                <w:rFonts w:hint="eastAsia" w:ascii="宋体" w:hAnsi="宋体"/>
                <w:b/>
                <w:bCs/>
                <w:szCs w:val="21"/>
                <w:lang w:eastAsia="zh-CN"/>
              </w:rPr>
              <w:t>（</w:t>
            </w:r>
            <w:r>
              <w:rPr>
                <w:rFonts w:hint="eastAsia" w:ascii="宋体" w:hAnsi="宋体"/>
                <w:b/>
                <w:bCs/>
                <w:szCs w:val="21"/>
                <w:lang w:val="en-US" w:eastAsia="zh-CN"/>
              </w:rPr>
              <w:t>优</w:t>
            </w:r>
            <w:r>
              <w:rPr>
                <w:rFonts w:hint="eastAsia" w:ascii="宋体" w:hAnsi="宋体"/>
                <w:b/>
                <w:bCs/>
                <w:szCs w:val="21"/>
                <w:lang w:eastAsia="zh-CN"/>
              </w:rPr>
              <w:t>）</w:t>
            </w:r>
            <w:r>
              <w:rPr>
                <w:rFonts w:hint="eastAsia" w:ascii="宋体" w:hAnsi="宋体"/>
                <w:b/>
                <w:bCs/>
                <w:szCs w:val="21"/>
              </w:rPr>
              <w:t>得</w:t>
            </w:r>
            <w:r>
              <w:rPr>
                <w:rFonts w:ascii="宋体" w:hAnsi="宋体"/>
                <w:b/>
                <w:bCs/>
                <w:szCs w:val="21"/>
              </w:rPr>
              <w:t>1</w:t>
            </w:r>
            <w:r>
              <w:rPr>
                <w:rFonts w:hint="eastAsia" w:ascii="宋体" w:hAnsi="宋体"/>
                <w:b/>
                <w:bCs/>
                <w:szCs w:val="21"/>
              </w:rPr>
              <w:t>2分，方案不完善、欠缺内容、描叙简单、欠可行性</w:t>
            </w:r>
            <w:r>
              <w:rPr>
                <w:rFonts w:hint="eastAsia" w:ascii="宋体" w:hAnsi="宋体"/>
                <w:b/>
                <w:bCs/>
                <w:szCs w:val="21"/>
                <w:lang w:eastAsia="zh-CN"/>
              </w:rPr>
              <w:t>的，</w:t>
            </w:r>
            <w:r>
              <w:rPr>
                <w:rFonts w:hint="eastAsia" w:ascii="宋体" w:hAnsi="宋体"/>
                <w:b/>
                <w:bCs/>
                <w:szCs w:val="21"/>
                <w:lang w:val="en-US" w:eastAsia="zh-CN"/>
              </w:rPr>
              <w:t>按内容得分，分别为9分、6分、3分及0分</w:t>
            </w:r>
            <w:r>
              <w:rPr>
                <w:rFonts w:hint="eastAsia" w:ascii="宋体" w:hAnsi="宋体"/>
                <w:b/>
                <w:bCs/>
                <w:szCs w:val="21"/>
              </w:rPr>
              <w:t>。</w:t>
            </w:r>
          </w:p>
        </w:tc>
      </w:tr>
      <w:tr w14:paraId="31255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27" w:type="dxa"/>
            <w:vMerge w:val="continue"/>
            <w:vAlign w:val="center"/>
          </w:tcPr>
          <w:p w14:paraId="20BDE382">
            <w:pPr>
              <w:adjustRightInd w:val="0"/>
              <w:snapToGrid w:val="0"/>
              <w:jc w:val="center"/>
              <w:rPr>
                <w:rFonts w:ascii="宋体" w:hAnsi="宋体" w:cs="仿宋_GB2312"/>
                <w:szCs w:val="21"/>
              </w:rPr>
            </w:pPr>
          </w:p>
        </w:tc>
        <w:tc>
          <w:tcPr>
            <w:tcW w:w="1452" w:type="dxa"/>
            <w:vAlign w:val="center"/>
          </w:tcPr>
          <w:p w14:paraId="2FCDC805">
            <w:pPr>
              <w:adjustRightInd w:val="0"/>
              <w:snapToGrid w:val="0"/>
              <w:spacing w:line="276" w:lineRule="auto"/>
              <w:jc w:val="center"/>
              <w:rPr>
                <w:rFonts w:hint="eastAsia" w:ascii="宋体" w:hAnsi="宋体"/>
                <w:spacing w:val="6"/>
                <w:sz w:val="20"/>
                <w:szCs w:val="20"/>
              </w:rPr>
            </w:pPr>
            <w:r>
              <w:rPr>
                <w:rFonts w:ascii="宋体" w:hAnsi="宋体"/>
                <w:spacing w:val="6"/>
                <w:sz w:val="20"/>
                <w:szCs w:val="20"/>
              </w:rPr>
              <w:t>安全管理方案</w:t>
            </w:r>
          </w:p>
        </w:tc>
        <w:tc>
          <w:tcPr>
            <w:tcW w:w="758" w:type="dxa"/>
            <w:vAlign w:val="center"/>
          </w:tcPr>
          <w:p w14:paraId="047F40D6">
            <w:pPr>
              <w:spacing w:line="276" w:lineRule="auto"/>
              <w:jc w:val="center"/>
              <w:rPr>
                <w:rFonts w:hint="eastAsia" w:ascii="宋体" w:hAnsi="宋体"/>
                <w:szCs w:val="21"/>
              </w:rPr>
            </w:pPr>
            <w:r>
              <w:rPr>
                <w:rFonts w:hint="eastAsia" w:ascii="宋体" w:hAnsi="宋体"/>
                <w:szCs w:val="21"/>
              </w:rPr>
              <w:t>12分</w:t>
            </w:r>
          </w:p>
        </w:tc>
        <w:tc>
          <w:tcPr>
            <w:tcW w:w="6511" w:type="dxa"/>
            <w:vAlign w:val="center"/>
          </w:tcPr>
          <w:p w14:paraId="20E6FD21">
            <w:pPr>
              <w:rPr>
                <w:rFonts w:hint="eastAsia" w:ascii="宋体" w:hAnsi="宋体"/>
                <w:szCs w:val="21"/>
              </w:rPr>
            </w:pPr>
            <w:r>
              <w:rPr>
                <w:rFonts w:hint="eastAsia" w:ascii="宋体" w:hAnsi="宋体"/>
                <w:szCs w:val="21"/>
              </w:rPr>
              <w:t>根据投标人提供的</w:t>
            </w:r>
            <w:r>
              <w:rPr>
                <w:rFonts w:ascii="宋体" w:hAnsi="宋体"/>
                <w:szCs w:val="21"/>
              </w:rPr>
              <w:t>安全管理方案</w:t>
            </w:r>
            <w:r>
              <w:rPr>
                <w:rFonts w:hint="eastAsia" w:ascii="宋体" w:hAnsi="宋体"/>
                <w:szCs w:val="21"/>
              </w:rPr>
              <w:t>进行综合评审，包括</w:t>
            </w:r>
            <w:r>
              <w:rPr>
                <w:rFonts w:ascii="宋体" w:hAnsi="宋体"/>
                <w:szCs w:val="21"/>
              </w:rPr>
              <w:t>安全生产风险分析、</w:t>
            </w:r>
            <w:r>
              <w:rPr>
                <w:rFonts w:hint="eastAsia" w:ascii="宋体" w:hAnsi="宋体"/>
                <w:szCs w:val="21"/>
              </w:rPr>
              <w:t>协助食材采购计划制定、</w:t>
            </w:r>
            <w:r>
              <w:rPr>
                <w:rFonts w:ascii="宋体" w:hAnsi="宋体"/>
                <w:szCs w:val="21"/>
              </w:rPr>
              <w:t>食材验收、食材储存、食品留样、消防安全及操作安全管理、防爆、防盗、防投毒管理等</w:t>
            </w:r>
            <w:r>
              <w:rPr>
                <w:rFonts w:hint="eastAsia" w:ascii="宋体" w:hAnsi="宋体"/>
                <w:szCs w:val="21"/>
              </w:rPr>
              <w:t>内容。</w:t>
            </w:r>
          </w:p>
          <w:p w14:paraId="588994FB">
            <w:pPr>
              <w:pStyle w:val="5"/>
              <w:spacing w:after="0"/>
              <w:rPr>
                <w:rFonts w:hint="eastAsia" w:ascii="宋体" w:hAnsi="宋体" w:cs="等线"/>
                <w:b/>
                <w:bCs/>
                <w:spacing w:val="6"/>
                <w:szCs w:val="21"/>
              </w:rPr>
            </w:pPr>
            <w:bookmarkStart w:id="8" w:name="OLE_LINK22"/>
            <w:r>
              <w:rPr>
                <w:rFonts w:hint="eastAsia" w:ascii="宋体" w:hAnsi="宋体"/>
                <w:b/>
                <w:bCs/>
                <w:szCs w:val="21"/>
              </w:rPr>
              <w:t>方案完整详细、切合项目实际且可行性强、科学合理性高，完全满足采购需求的得</w:t>
            </w:r>
            <w:r>
              <w:rPr>
                <w:rFonts w:ascii="宋体" w:hAnsi="宋体"/>
                <w:b/>
                <w:bCs/>
                <w:szCs w:val="21"/>
              </w:rPr>
              <w:t>1</w:t>
            </w:r>
            <w:r>
              <w:rPr>
                <w:rFonts w:hint="eastAsia" w:ascii="宋体" w:hAnsi="宋体"/>
                <w:b/>
                <w:bCs/>
                <w:szCs w:val="21"/>
              </w:rPr>
              <w:t>2分，方案不完善、欠缺内容、描叙简单、欠可行性</w:t>
            </w:r>
            <w:bookmarkEnd w:id="8"/>
            <w:r>
              <w:rPr>
                <w:rFonts w:hint="eastAsia" w:ascii="宋体" w:hAnsi="宋体"/>
                <w:b/>
                <w:bCs/>
                <w:szCs w:val="21"/>
                <w:lang w:eastAsia="zh-CN"/>
              </w:rPr>
              <w:t>的，</w:t>
            </w:r>
            <w:r>
              <w:rPr>
                <w:rFonts w:hint="eastAsia" w:ascii="宋体" w:hAnsi="宋体"/>
                <w:b/>
                <w:bCs/>
                <w:szCs w:val="21"/>
                <w:lang w:val="en-US" w:eastAsia="zh-CN"/>
              </w:rPr>
              <w:t>按内容得分，分别为9分、6分、3分及0分</w:t>
            </w:r>
            <w:r>
              <w:rPr>
                <w:rFonts w:hint="eastAsia" w:ascii="宋体" w:hAnsi="宋体"/>
                <w:b/>
                <w:bCs/>
                <w:szCs w:val="21"/>
              </w:rPr>
              <w:t>。</w:t>
            </w:r>
          </w:p>
        </w:tc>
      </w:tr>
      <w:tr w14:paraId="604FA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27" w:type="dxa"/>
            <w:vMerge w:val="continue"/>
            <w:vAlign w:val="center"/>
          </w:tcPr>
          <w:p w14:paraId="7FBA3FCB">
            <w:pPr>
              <w:adjustRightInd w:val="0"/>
              <w:snapToGrid w:val="0"/>
              <w:jc w:val="center"/>
              <w:rPr>
                <w:rFonts w:ascii="宋体" w:hAnsi="宋体" w:cs="仿宋_GB2312"/>
                <w:szCs w:val="21"/>
              </w:rPr>
            </w:pPr>
          </w:p>
        </w:tc>
        <w:tc>
          <w:tcPr>
            <w:tcW w:w="1452" w:type="dxa"/>
            <w:vAlign w:val="center"/>
          </w:tcPr>
          <w:p w14:paraId="272E3D91">
            <w:pPr>
              <w:adjustRightInd w:val="0"/>
              <w:snapToGrid w:val="0"/>
              <w:spacing w:line="276" w:lineRule="auto"/>
              <w:jc w:val="center"/>
              <w:rPr>
                <w:rFonts w:hint="eastAsia" w:ascii="宋体" w:hAnsi="宋体"/>
                <w:szCs w:val="21"/>
              </w:rPr>
            </w:pPr>
            <w:r>
              <w:rPr>
                <w:rFonts w:ascii="宋体" w:hAnsi="宋体"/>
                <w:spacing w:val="6"/>
                <w:sz w:val="20"/>
                <w:szCs w:val="20"/>
              </w:rPr>
              <w:t>食堂环境卫生管理及保障措施</w:t>
            </w:r>
          </w:p>
        </w:tc>
        <w:tc>
          <w:tcPr>
            <w:tcW w:w="758" w:type="dxa"/>
            <w:vAlign w:val="center"/>
          </w:tcPr>
          <w:p w14:paraId="33FCB007">
            <w:pPr>
              <w:spacing w:line="276" w:lineRule="auto"/>
              <w:jc w:val="center"/>
              <w:rPr>
                <w:rFonts w:hint="eastAsia" w:ascii="宋体" w:hAnsi="宋体"/>
                <w:szCs w:val="21"/>
              </w:rPr>
            </w:pPr>
            <w:r>
              <w:rPr>
                <w:rFonts w:hint="eastAsia" w:ascii="宋体" w:hAnsi="宋体"/>
                <w:szCs w:val="21"/>
              </w:rPr>
              <w:t>12分</w:t>
            </w:r>
          </w:p>
        </w:tc>
        <w:tc>
          <w:tcPr>
            <w:tcW w:w="6511" w:type="dxa"/>
            <w:vAlign w:val="center"/>
          </w:tcPr>
          <w:p w14:paraId="7FF9D9E6">
            <w:pPr>
              <w:rPr>
                <w:rFonts w:hint="eastAsia" w:ascii="宋体" w:hAnsi="宋体"/>
                <w:szCs w:val="21"/>
              </w:rPr>
            </w:pPr>
            <w:r>
              <w:rPr>
                <w:rFonts w:hint="eastAsia" w:ascii="宋体" w:hAnsi="宋体"/>
                <w:szCs w:val="21"/>
              </w:rPr>
              <w:t>根据投标人提供的</w:t>
            </w:r>
            <w:r>
              <w:rPr>
                <w:rFonts w:ascii="宋体" w:hAnsi="宋体"/>
                <w:szCs w:val="21"/>
              </w:rPr>
              <w:t>食堂环境卫生管理及保障措施</w:t>
            </w:r>
            <w:r>
              <w:rPr>
                <w:rFonts w:hint="eastAsia" w:ascii="宋体" w:hAnsi="宋体"/>
                <w:szCs w:val="21"/>
              </w:rPr>
              <w:t>进行综合评审，包括</w:t>
            </w:r>
            <w:r>
              <w:rPr>
                <w:rFonts w:ascii="宋体" w:hAnsi="宋体"/>
                <w:szCs w:val="21"/>
              </w:rPr>
              <w:t>食品卫生控制、环境卫生控制方案、垃圾处理控制方案、餐厅卫生管理、厨房除害规范、厨具餐具清洗消毒管理等</w:t>
            </w:r>
            <w:r>
              <w:rPr>
                <w:rFonts w:hint="eastAsia" w:ascii="宋体" w:hAnsi="宋体"/>
                <w:szCs w:val="21"/>
              </w:rPr>
              <w:t>内容。</w:t>
            </w:r>
          </w:p>
          <w:p w14:paraId="2F295932">
            <w:pPr>
              <w:pStyle w:val="5"/>
              <w:spacing w:after="0"/>
              <w:rPr>
                <w:rFonts w:hint="eastAsia" w:ascii="宋体" w:hAnsi="宋体" w:cs="等线"/>
                <w:spacing w:val="6"/>
                <w:szCs w:val="21"/>
              </w:rPr>
            </w:pPr>
            <w:bookmarkStart w:id="9" w:name="OLE_LINK24"/>
            <w:r>
              <w:rPr>
                <w:rFonts w:hint="eastAsia" w:ascii="宋体" w:hAnsi="宋体"/>
                <w:b/>
                <w:bCs/>
                <w:szCs w:val="21"/>
              </w:rPr>
              <w:t>方案完整详细、切合项目实际且可行性强、科学合理性高，完全满足采购需求的得</w:t>
            </w:r>
            <w:r>
              <w:rPr>
                <w:rFonts w:ascii="宋体" w:hAnsi="宋体"/>
                <w:b/>
                <w:bCs/>
                <w:szCs w:val="21"/>
              </w:rPr>
              <w:t>1</w:t>
            </w:r>
            <w:r>
              <w:rPr>
                <w:rFonts w:hint="eastAsia" w:ascii="宋体" w:hAnsi="宋体"/>
                <w:b/>
                <w:bCs/>
                <w:szCs w:val="21"/>
              </w:rPr>
              <w:t>2分，方案不完善、欠缺内容、描叙简单、欠可行性</w:t>
            </w:r>
            <w:bookmarkEnd w:id="9"/>
            <w:r>
              <w:rPr>
                <w:rFonts w:hint="eastAsia" w:ascii="宋体" w:hAnsi="宋体"/>
                <w:b/>
                <w:bCs/>
                <w:szCs w:val="21"/>
                <w:lang w:eastAsia="zh-CN"/>
              </w:rPr>
              <w:t>的，</w:t>
            </w:r>
            <w:r>
              <w:rPr>
                <w:rFonts w:hint="eastAsia" w:ascii="宋体" w:hAnsi="宋体"/>
                <w:b/>
                <w:bCs/>
                <w:szCs w:val="21"/>
                <w:lang w:val="en-US" w:eastAsia="zh-CN"/>
              </w:rPr>
              <w:t>按内容得分，分别为9分、6分、3分及0分</w:t>
            </w:r>
            <w:r>
              <w:rPr>
                <w:rFonts w:hint="eastAsia" w:ascii="宋体" w:hAnsi="宋体"/>
                <w:b/>
                <w:bCs/>
                <w:szCs w:val="21"/>
              </w:rPr>
              <w:t>。</w:t>
            </w:r>
          </w:p>
        </w:tc>
      </w:tr>
      <w:tr w14:paraId="02D4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27" w:type="dxa"/>
            <w:vMerge w:val="continue"/>
            <w:vAlign w:val="center"/>
          </w:tcPr>
          <w:p w14:paraId="6B5694EA">
            <w:pPr>
              <w:adjustRightInd w:val="0"/>
              <w:snapToGrid w:val="0"/>
              <w:jc w:val="center"/>
              <w:rPr>
                <w:rFonts w:ascii="宋体" w:hAnsi="宋体" w:cs="仿宋_GB2312"/>
                <w:szCs w:val="21"/>
              </w:rPr>
            </w:pPr>
          </w:p>
        </w:tc>
        <w:tc>
          <w:tcPr>
            <w:tcW w:w="1452" w:type="dxa"/>
            <w:vAlign w:val="center"/>
          </w:tcPr>
          <w:p w14:paraId="739BB6F0">
            <w:pPr>
              <w:adjustRightInd w:val="0"/>
              <w:snapToGrid w:val="0"/>
              <w:spacing w:line="276" w:lineRule="auto"/>
              <w:jc w:val="center"/>
              <w:rPr>
                <w:rFonts w:hint="eastAsia" w:ascii="宋体" w:hAnsi="宋体"/>
                <w:spacing w:val="7"/>
                <w:sz w:val="20"/>
                <w:szCs w:val="20"/>
              </w:rPr>
            </w:pPr>
            <w:r>
              <w:rPr>
                <w:rFonts w:ascii="宋体" w:hAnsi="宋体"/>
                <w:spacing w:val="7"/>
                <w:sz w:val="20"/>
                <w:szCs w:val="20"/>
              </w:rPr>
              <w:t>人员配备与管理方案</w:t>
            </w:r>
          </w:p>
        </w:tc>
        <w:tc>
          <w:tcPr>
            <w:tcW w:w="758" w:type="dxa"/>
            <w:vAlign w:val="center"/>
          </w:tcPr>
          <w:p w14:paraId="37C5FE9D">
            <w:pPr>
              <w:spacing w:line="276" w:lineRule="auto"/>
              <w:jc w:val="center"/>
              <w:rPr>
                <w:rFonts w:hint="eastAsia" w:ascii="宋体" w:hAnsi="宋体"/>
                <w:szCs w:val="21"/>
              </w:rPr>
            </w:pPr>
            <w:r>
              <w:rPr>
                <w:rFonts w:hint="eastAsia" w:ascii="宋体" w:hAnsi="宋体"/>
                <w:szCs w:val="21"/>
              </w:rPr>
              <w:t>10分</w:t>
            </w:r>
          </w:p>
        </w:tc>
        <w:tc>
          <w:tcPr>
            <w:tcW w:w="6511" w:type="dxa"/>
            <w:vAlign w:val="center"/>
          </w:tcPr>
          <w:p w14:paraId="41C59664">
            <w:pPr>
              <w:pStyle w:val="10"/>
              <w:spacing w:after="0"/>
              <w:ind w:left="0" w:leftChars="0" w:firstLine="0" w:firstLineChars="0"/>
              <w:rPr>
                <w:rFonts w:ascii="宋体" w:hAnsi="宋体" w:cs="宋体"/>
                <w:szCs w:val="21"/>
              </w:rPr>
            </w:pPr>
            <w:r>
              <w:rPr>
                <w:rFonts w:hint="eastAsia" w:ascii="宋体" w:hAnsi="宋体" w:cs="宋体"/>
                <w:szCs w:val="21"/>
              </w:rPr>
              <w:t>根据投标人提供的</w:t>
            </w:r>
            <w:r>
              <w:rPr>
                <w:rFonts w:ascii="宋体" w:hAnsi="宋体" w:cs="宋体"/>
                <w:szCs w:val="21"/>
              </w:rPr>
              <w:t>人员配备与管理方案</w:t>
            </w:r>
            <w:r>
              <w:rPr>
                <w:rFonts w:hint="eastAsia" w:ascii="宋体" w:hAnsi="宋体" w:cs="宋体"/>
                <w:szCs w:val="21"/>
              </w:rPr>
              <w:t>进行综合评审，包括</w:t>
            </w:r>
            <w:r>
              <w:rPr>
                <w:rFonts w:ascii="宋体" w:hAnsi="宋体" w:cs="宋体"/>
                <w:szCs w:val="21"/>
              </w:rPr>
              <w:t>人员岗位设置及团队人员配备情况、人员职责与人员管理方案、员工培训方案、员工日常考核制度</w:t>
            </w:r>
            <w:r>
              <w:rPr>
                <w:rFonts w:hint="eastAsia" w:ascii="宋体" w:hAnsi="宋体" w:cs="宋体"/>
                <w:szCs w:val="21"/>
              </w:rPr>
              <w:t>等内容。</w:t>
            </w:r>
          </w:p>
          <w:p w14:paraId="54274D7F">
            <w:pPr>
              <w:pStyle w:val="10"/>
              <w:spacing w:after="0"/>
              <w:ind w:left="0" w:leftChars="0" w:firstLine="0" w:firstLineChars="0"/>
              <w:rPr>
                <w:rFonts w:hint="eastAsia" w:ascii="宋体" w:hAnsi="宋体" w:cs="宋体"/>
                <w:szCs w:val="21"/>
              </w:rPr>
            </w:pPr>
            <w:r>
              <w:rPr>
                <w:rFonts w:hint="eastAsia" w:ascii="宋体" w:hAnsi="宋体"/>
                <w:b/>
                <w:bCs/>
                <w:szCs w:val="21"/>
              </w:rPr>
              <w:t>方案完整详细、切合项目实际且可行性强、科学合理性高，完全满足采购需求的得10分，方案不完善、欠缺内容、描叙简单、欠可行性</w:t>
            </w:r>
            <w:r>
              <w:rPr>
                <w:rFonts w:hint="eastAsia" w:ascii="宋体" w:hAnsi="宋体"/>
                <w:b/>
                <w:bCs/>
                <w:szCs w:val="21"/>
                <w:lang w:eastAsia="zh-CN"/>
              </w:rPr>
              <w:t>的，</w:t>
            </w:r>
            <w:r>
              <w:rPr>
                <w:rFonts w:hint="eastAsia" w:ascii="宋体" w:hAnsi="宋体"/>
                <w:b/>
                <w:bCs/>
                <w:szCs w:val="21"/>
                <w:lang w:val="en-US" w:eastAsia="zh-CN"/>
              </w:rPr>
              <w:t>按内容得分，分别为8分、6分、4分、2分及0分</w:t>
            </w:r>
            <w:r>
              <w:rPr>
                <w:rFonts w:hint="eastAsia" w:ascii="宋体" w:hAnsi="宋体"/>
                <w:b/>
                <w:bCs/>
                <w:szCs w:val="21"/>
              </w:rPr>
              <w:t>。</w:t>
            </w:r>
          </w:p>
        </w:tc>
      </w:tr>
      <w:tr w14:paraId="26FD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27" w:type="dxa"/>
            <w:vMerge w:val="continue"/>
            <w:vAlign w:val="center"/>
          </w:tcPr>
          <w:p w14:paraId="3E73915E">
            <w:pPr>
              <w:adjustRightInd w:val="0"/>
              <w:snapToGrid w:val="0"/>
              <w:jc w:val="center"/>
              <w:rPr>
                <w:rFonts w:ascii="宋体" w:hAnsi="宋体" w:cs="仿宋_GB2312"/>
                <w:szCs w:val="21"/>
              </w:rPr>
            </w:pPr>
          </w:p>
        </w:tc>
        <w:tc>
          <w:tcPr>
            <w:tcW w:w="1452" w:type="dxa"/>
            <w:vAlign w:val="center"/>
          </w:tcPr>
          <w:p w14:paraId="729C9665">
            <w:pPr>
              <w:adjustRightInd w:val="0"/>
              <w:snapToGrid w:val="0"/>
              <w:spacing w:line="276" w:lineRule="auto"/>
              <w:jc w:val="center"/>
              <w:rPr>
                <w:rFonts w:hint="eastAsia" w:ascii="宋体" w:hAnsi="宋体"/>
                <w:szCs w:val="21"/>
              </w:rPr>
            </w:pPr>
            <w:r>
              <w:rPr>
                <w:rFonts w:hint="eastAsia" w:ascii="宋体" w:hAnsi="宋体"/>
                <w:szCs w:val="21"/>
              </w:rPr>
              <w:t>应急预案</w:t>
            </w:r>
          </w:p>
        </w:tc>
        <w:tc>
          <w:tcPr>
            <w:tcW w:w="758" w:type="dxa"/>
            <w:vAlign w:val="center"/>
          </w:tcPr>
          <w:p w14:paraId="7C4289F6">
            <w:pPr>
              <w:spacing w:line="276" w:lineRule="auto"/>
              <w:jc w:val="center"/>
              <w:rPr>
                <w:rFonts w:hint="eastAsia" w:ascii="宋体" w:hAnsi="宋体"/>
                <w:szCs w:val="21"/>
              </w:rPr>
            </w:pPr>
            <w:r>
              <w:rPr>
                <w:rFonts w:hint="eastAsia" w:ascii="宋体" w:hAnsi="宋体"/>
                <w:szCs w:val="21"/>
              </w:rPr>
              <w:t>10分</w:t>
            </w:r>
          </w:p>
        </w:tc>
        <w:tc>
          <w:tcPr>
            <w:tcW w:w="6511" w:type="dxa"/>
            <w:vAlign w:val="center"/>
          </w:tcPr>
          <w:p w14:paraId="1FB3AA84">
            <w:pPr>
              <w:pStyle w:val="10"/>
              <w:spacing w:after="0"/>
              <w:ind w:left="0" w:leftChars="0" w:firstLine="0" w:firstLineChars="0"/>
              <w:rPr>
                <w:rFonts w:ascii="宋体" w:hAnsi="宋体" w:cs="宋体"/>
                <w:szCs w:val="21"/>
              </w:rPr>
            </w:pPr>
            <w:r>
              <w:rPr>
                <w:rFonts w:hint="eastAsia" w:ascii="宋体" w:hAnsi="宋体" w:cs="宋体"/>
                <w:szCs w:val="21"/>
              </w:rPr>
              <w:t>根据投标人提供的</w:t>
            </w:r>
            <w:r>
              <w:rPr>
                <w:rFonts w:ascii="宋体" w:hAnsi="宋体" w:cs="宋体"/>
                <w:szCs w:val="21"/>
              </w:rPr>
              <w:t>应急预案</w:t>
            </w:r>
            <w:r>
              <w:rPr>
                <w:rFonts w:hint="eastAsia" w:ascii="宋体" w:hAnsi="宋体" w:cs="宋体"/>
                <w:szCs w:val="21"/>
              </w:rPr>
              <w:t>进行综合评审，包括</w:t>
            </w:r>
            <w:r>
              <w:rPr>
                <w:rFonts w:ascii="宋体" w:hAnsi="宋体" w:cs="宋体"/>
                <w:szCs w:val="21"/>
              </w:rPr>
              <w:t>食品安全事故、消防、紧急事件人员处理方案、疫情防控预案等</w:t>
            </w:r>
            <w:r>
              <w:rPr>
                <w:rFonts w:hint="eastAsia" w:ascii="宋体" w:hAnsi="宋体" w:cs="宋体"/>
                <w:szCs w:val="21"/>
              </w:rPr>
              <w:t>内容。</w:t>
            </w:r>
          </w:p>
          <w:p w14:paraId="4AA13F14">
            <w:pPr>
              <w:pStyle w:val="10"/>
              <w:spacing w:after="0"/>
              <w:ind w:left="0" w:leftChars="0" w:firstLine="0" w:firstLineChars="0"/>
              <w:rPr>
                <w:rFonts w:hint="eastAsia" w:ascii="宋体" w:hAnsi="宋体" w:cs="宋体"/>
                <w:szCs w:val="21"/>
              </w:rPr>
            </w:pPr>
            <w:r>
              <w:rPr>
                <w:rFonts w:hint="eastAsia" w:ascii="宋体" w:hAnsi="宋体"/>
                <w:b/>
                <w:bCs/>
                <w:szCs w:val="21"/>
              </w:rPr>
              <w:t>方案完整详细、切合项目实际且可行性强、科学合理性高，完全满足采购需求的得10分，方案不完善、欠缺内容、描叙简单、欠可行性</w:t>
            </w:r>
            <w:r>
              <w:rPr>
                <w:rFonts w:hint="eastAsia" w:ascii="宋体" w:hAnsi="宋体"/>
                <w:b/>
                <w:bCs/>
                <w:szCs w:val="21"/>
                <w:lang w:eastAsia="zh-CN"/>
              </w:rPr>
              <w:t>的，</w:t>
            </w:r>
            <w:r>
              <w:rPr>
                <w:rFonts w:hint="eastAsia" w:ascii="宋体" w:hAnsi="宋体"/>
                <w:b/>
                <w:bCs/>
                <w:szCs w:val="21"/>
                <w:lang w:val="en-US" w:eastAsia="zh-CN"/>
              </w:rPr>
              <w:t>按内容得分，分别为8分、6分、4分、2分及0分</w:t>
            </w:r>
            <w:r>
              <w:rPr>
                <w:rFonts w:hint="eastAsia" w:ascii="宋体" w:hAnsi="宋体"/>
                <w:b/>
                <w:bCs/>
                <w:szCs w:val="21"/>
              </w:rPr>
              <w:t>。</w:t>
            </w:r>
            <w:bookmarkStart w:id="12" w:name="_GoBack"/>
            <w:bookmarkEnd w:id="12"/>
          </w:p>
        </w:tc>
      </w:tr>
      <w:tr w14:paraId="353C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1127" w:type="dxa"/>
            <w:vMerge w:val="restart"/>
            <w:vAlign w:val="center"/>
          </w:tcPr>
          <w:p w14:paraId="6DE717D5">
            <w:pPr>
              <w:adjustRightInd w:val="0"/>
              <w:snapToGrid w:val="0"/>
              <w:jc w:val="center"/>
              <w:rPr>
                <w:rFonts w:hint="eastAsia" w:ascii="宋体" w:hAnsi="宋体" w:cs="仿宋_GB2312"/>
                <w:szCs w:val="21"/>
              </w:rPr>
            </w:pPr>
            <w:r>
              <w:rPr>
                <w:rFonts w:hint="eastAsia" w:ascii="宋体" w:hAnsi="宋体" w:cs="仿宋_GB2312"/>
                <w:szCs w:val="21"/>
              </w:rPr>
              <w:t>商务</w:t>
            </w:r>
          </w:p>
          <w:p w14:paraId="558A4335">
            <w:pPr>
              <w:adjustRightInd w:val="0"/>
              <w:snapToGrid w:val="0"/>
              <w:jc w:val="center"/>
              <w:rPr>
                <w:rFonts w:ascii="宋体" w:hAnsi="宋体" w:cs="仿宋_GB2312"/>
                <w:szCs w:val="21"/>
              </w:rPr>
            </w:pPr>
            <w:r>
              <w:rPr>
                <w:rFonts w:hint="eastAsia" w:ascii="宋体" w:hAnsi="宋体" w:cs="仿宋_GB2312"/>
                <w:szCs w:val="21"/>
              </w:rPr>
              <w:t>部分</w:t>
            </w:r>
          </w:p>
          <w:p w14:paraId="344139C5">
            <w:pPr>
              <w:jc w:val="center"/>
              <w:rPr>
                <w:rFonts w:hint="eastAsia" w:ascii="宋体" w:hAnsi="宋体"/>
              </w:rPr>
            </w:pPr>
            <w:r>
              <w:rPr>
                <w:rFonts w:hint="eastAsia" w:ascii="宋体" w:hAnsi="宋体" w:cs="仿宋_GB2312"/>
                <w:szCs w:val="21"/>
              </w:rPr>
              <w:t>（24分）</w:t>
            </w:r>
          </w:p>
        </w:tc>
        <w:tc>
          <w:tcPr>
            <w:tcW w:w="1452" w:type="dxa"/>
            <w:vAlign w:val="center"/>
          </w:tcPr>
          <w:p w14:paraId="45521B86">
            <w:pPr>
              <w:jc w:val="center"/>
              <w:rPr>
                <w:rFonts w:hint="eastAsia" w:ascii="宋体" w:hAnsi="宋体"/>
                <w:szCs w:val="21"/>
                <w:shd w:val="clear" w:color="auto" w:fill="FFFFFF"/>
              </w:rPr>
            </w:pPr>
            <w:r>
              <w:rPr>
                <w:rFonts w:hint="eastAsia" w:ascii="宋体" w:hAnsi="宋体"/>
                <w:szCs w:val="21"/>
                <w:shd w:val="clear" w:color="auto" w:fill="FFFFFF"/>
              </w:rPr>
              <w:t>团队实力</w:t>
            </w:r>
          </w:p>
        </w:tc>
        <w:tc>
          <w:tcPr>
            <w:tcW w:w="758" w:type="dxa"/>
            <w:vAlign w:val="center"/>
          </w:tcPr>
          <w:p w14:paraId="79F6BF2A">
            <w:pPr>
              <w:pStyle w:val="17"/>
              <w:rPr>
                <w:rFonts w:hint="eastAsia" w:ascii="宋体" w:hAnsi="宋体" w:eastAsia="宋体" w:cs="宋体"/>
                <w:sz w:val="21"/>
              </w:rPr>
            </w:pPr>
            <w:r>
              <w:rPr>
                <w:rFonts w:hint="eastAsia" w:ascii="宋体" w:hAnsi="宋体" w:eastAsia="宋体" w:cs="宋体"/>
                <w:sz w:val="21"/>
              </w:rPr>
              <w:t>8分</w:t>
            </w:r>
          </w:p>
        </w:tc>
        <w:tc>
          <w:tcPr>
            <w:tcW w:w="6511" w:type="dxa"/>
            <w:vAlign w:val="center"/>
          </w:tcPr>
          <w:p w14:paraId="0A10A626">
            <w:pPr>
              <w:pStyle w:val="17"/>
              <w:rPr>
                <w:rFonts w:ascii="宋体" w:hAnsi="宋体" w:eastAsia="宋体" w:cs="宋体"/>
                <w:sz w:val="21"/>
              </w:rPr>
            </w:pPr>
            <w:r>
              <w:rPr>
                <w:rFonts w:hint="eastAsia" w:ascii="宋体" w:hAnsi="宋体" w:eastAsia="宋体" w:cs="宋体"/>
                <w:sz w:val="21"/>
              </w:rPr>
              <w:t>拟派本项目的厨师具备二级（技师级）及以上中式烹调师证得8分，具有三级（高级）及以上中式烹调师证得4分，本项目最高得8分。</w:t>
            </w:r>
          </w:p>
          <w:p w14:paraId="3BC2A4E5">
            <w:pPr>
              <w:pStyle w:val="17"/>
              <w:rPr>
                <w:rFonts w:hint="eastAsia" w:ascii="宋体" w:hAnsi="宋体" w:eastAsia="宋体" w:cs="宋体"/>
                <w:sz w:val="21"/>
              </w:rPr>
            </w:pPr>
            <w:r>
              <w:rPr>
                <w:rFonts w:hint="eastAsia" w:ascii="宋体" w:hAnsi="宋体" w:eastAsia="宋体" w:cs="宋体"/>
                <w:b/>
                <w:bCs/>
                <w:sz w:val="21"/>
              </w:rPr>
              <w:t>提供人员证书复印件（证书须显示证书名称、级别、人员名称等重要信息，如因证书放置不全造成评审小组无法判断，则不得分）、投标人近半年内任意连续三个月为其缴纳社保的证明材料复印件，</w:t>
            </w:r>
            <w:bookmarkStart w:id="10" w:name="OLE_LINK31"/>
            <w:r>
              <w:rPr>
                <w:rFonts w:hint="eastAsia" w:ascii="宋体" w:hAnsi="宋体" w:eastAsia="宋体" w:cs="宋体"/>
                <w:b/>
                <w:bCs/>
                <w:sz w:val="21"/>
              </w:rPr>
              <w:t>未按要求提供或未提供的不得分。</w:t>
            </w:r>
            <w:bookmarkEnd w:id="10"/>
          </w:p>
        </w:tc>
      </w:tr>
      <w:tr w14:paraId="367A6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127" w:type="dxa"/>
            <w:vMerge w:val="continue"/>
            <w:vAlign w:val="center"/>
          </w:tcPr>
          <w:p w14:paraId="75F80D65">
            <w:pPr>
              <w:jc w:val="center"/>
              <w:rPr>
                <w:rFonts w:hint="eastAsia" w:ascii="宋体" w:hAnsi="宋体"/>
              </w:rPr>
            </w:pPr>
          </w:p>
        </w:tc>
        <w:tc>
          <w:tcPr>
            <w:tcW w:w="1452" w:type="dxa"/>
            <w:vAlign w:val="center"/>
          </w:tcPr>
          <w:p w14:paraId="4826D513">
            <w:pPr>
              <w:jc w:val="center"/>
              <w:rPr>
                <w:rFonts w:hint="eastAsia" w:ascii="宋体" w:hAnsi="宋体"/>
                <w:szCs w:val="21"/>
                <w:shd w:val="clear" w:color="auto" w:fill="FFFFFF"/>
              </w:rPr>
            </w:pPr>
            <w:r>
              <w:rPr>
                <w:rFonts w:hint="eastAsia" w:ascii="宋体" w:hAnsi="宋体"/>
                <w:szCs w:val="21"/>
                <w:shd w:val="clear" w:color="auto" w:fill="FFFFFF"/>
              </w:rPr>
              <w:t>企业实力</w:t>
            </w:r>
          </w:p>
        </w:tc>
        <w:tc>
          <w:tcPr>
            <w:tcW w:w="758" w:type="dxa"/>
            <w:vAlign w:val="center"/>
          </w:tcPr>
          <w:p w14:paraId="14C91DA3">
            <w:pPr>
              <w:spacing w:line="276" w:lineRule="auto"/>
              <w:jc w:val="center"/>
              <w:rPr>
                <w:rFonts w:hint="eastAsia" w:ascii="宋体" w:hAnsi="宋体" w:cs="宋体"/>
                <w:sz w:val="22"/>
                <w:szCs w:val="22"/>
              </w:rPr>
            </w:pPr>
            <w:r>
              <w:rPr>
                <w:rFonts w:hint="eastAsia" w:ascii="宋体" w:hAnsi="宋体" w:cs="宋体"/>
                <w:sz w:val="22"/>
                <w:szCs w:val="22"/>
              </w:rPr>
              <w:t>6分</w:t>
            </w:r>
          </w:p>
        </w:tc>
        <w:tc>
          <w:tcPr>
            <w:tcW w:w="6511" w:type="dxa"/>
            <w:vAlign w:val="center"/>
          </w:tcPr>
          <w:p w14:paraId="0282A0A1">
            <w:pPr>
              <w:pStyle w:val="17"/>
              <w:rPr>
                <w:rFonts w:hint="eastAsia" w:ascii="宋体" w:hAnsi="宋体" w:eastAsia="宋体" w:cs="宋体"/>
                <w:sz w:val="21"/>
              </w:rPr>
            </w:pPr>
            <w:r>
              <w:rPr>
                <w:rFonts w:hint="eastAsia" w:ascii="宋体" w:hAnsi="宋体" w:eastAsia="宋体" w:cs="宋体"/>
                <w:sz w:val="21"/>
              </w:rPr>
              <w:t>投标人具有IS022000食品安全管理体系认证证书的得6分，最高得6分。</w:t>
            </w:r>
          </w:p>
          <w:p w14:paraId="6858EC9E">
            <w:pPr>
              <w:pStyle w:val="17"/>
              <w:rPr>
                <w:rFonts w:hint="eastAsia" w:ascii="宋体" w:hAnsi="宋体" w:eastAsia="宋体" w:cs="宋体"/>
                <w:b/>
                <w:bCs/>
                <w:sz w:val="21"/>
              </w:rPr>
            </w:pPr>
            <w:r>
              <w:rPr>
                <w:rFonts w:hint="eastAsia" w:ascii="宋体" w:hAnsi="宋体" w:eastAsia="宋体" w:cs="宋体"/>
                <w:b/>
                <w:bCs/>
                <w:sz w:val="21"/>
              </w:rPr>
              <w:t>提供认证证书复印件及</w:t>
            </w:r>
            <w:bookmarkStart w:id="11" w:name="OLE_LINK32"/>
            <w:r>
              <w:rPr>
                <w:rFonts w:hint="eastAsia" w:ascii="宋体" w:hAnsi="宋体" w:eastAsia="宋体" w:cs="宋体"/>
                <w:b/>
                <w:bCs/>
                <w:sz w:val="21"/>
              </w:rPr>
              <w:t>国家市场监督管理总局全国认证认可信息公共服务平台</w:t>
            </w:r>
            <w:bookmarkEnd w:id="11"/>
            <w:r>
              <w:rPr>
                <w:rFonts w:hint="eastAsia" w:ascii="宋体" w:hAnsi="宋体" w:eastAsia="宋体" w:cs="宋体"/>
                <w:b/>
                <w:bCs/>
                <w:sz w:val="21"/>
              </w:rPr>
              <w:t>查询截图并加盖投标人公章，未按要求提供或未提供的不得分。</w:t>
            </w:r>
          </w:p>
        </w:tc>
      </w:tr>
      <w:tr w14:paraId="7DAA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127" w:type="dxa"/>
            <w:vMerge w:val="continue"/>
            <w:vAlign w:val="center"/>
          </w:tcPr>
          <w:p w14:paraId="111E0287">
            <w:pPr>
              <w:jc w:val="center"/>
              <w:rPr>
                <w:rFonts w:ascii="宋体" w:hAnsi="宋体"/>
              </w:rPr>
            </w:pPr>
          </w:p>
        </w:tc>
        <w:tc>
          <w:tcPr>
            <w:tcW w:w="1452" w:type="dxa"/>
            <w:vAlign w:val="center"/>
          </w:tcPr>
          <w:p w14:paraId="4753BBDA">
            <w:pPr>
              <w:widowControl/>
              <w:jc w:val="center"/>
              <w:rPr>
                <w:rFonts w:hint="eastAsia" w:ascii="宋体" w:hAnsi="宋体" w:cs="宋体"/>
                <w:szCs w:val="21"/>
              </w:rPr>
            </w:pPr>
            <w:r>
              <w:rPr>
                <w:rFonts w:hint="eastAsia" w:ascii="宋体" w:hAnsi="宋体" w:cs="宋体"/>
                <w:szCs w:val="21"/>
              </w:rPr>
              <w:t>类似业绩</w:t>
            </w:r>
          </w:p>
        </w:tc>
        <w:tc>
          <w:tcPr>
            <w:tcW w:w="758" w:type="dxa"/>
            <w:vAlign w:val="center"/>
          </w:tcPr>
          <w:p w14:paraId="725A669F">
            <w:pPr>
              <w:spacing w:line="276" w:lineRule="auto"/>
              <w:jc w:val="center"/>
              <w:rPr>
                <w:rFonts w:hint="eastAsia" w:ascii="宋体" w:hAnsi="宋体" w:cs="宋体"/>
                <w:sz w:val="22"/>
                <w:szCs w:val="22"/>
              </w:rPr>
            </w:pPr>
            <w:r>
              <w:rPr>
                <w:rFonts w:hint="eastAsia" w:ascii="宋体" w:hAnsi="宋体" w:cs="宋体"/>
                <w:sz w:val="22"/>
                <w:szCs w:val="22"/>
              </w:rPr>
              <w:t>10分</w:t>
            </w:r>
          </w:p>
        </w:tc>
        <w:tc>
          <w:tcPr>
            <w:tcW w:w="6511" w:type="dxa"/>
            <w:vAlign w:val="center"/>
          </w:tcPr>
          <w:p w14:paraId="111FC618">
            <w:pPr>
              <w:adjustRightInd w:val="0"/>
              <w:snapToGrid w:val="0"/>
              <w:jc w:val="left"/>
              <w:rPr>
                <w:rFonts w:hint="eastAsia" w:ascii="宋体" w:hAnsi="宋体"/>
                <w:szCs w:val="21"/>
              </w:rPr>
            </w:pPr>
            <w:r>
              <w:rPr>
                <w:rFonts w:hint="eastAsia" w:ascii="宋体" w:hAnsi="宋体"/>
                <w:szCs w:val="21"/>
              </w:rPr>
              <w:t>投标人近三年（</w:t>
            </w:r>
            <w:r>
              <w:rPr>
                <w:rFonts w:hint="eastAsia" w:ascii="宋体" w:hAnsi="宋体"/>
                <w:bCs/>
                <w:szCs w:val="21"/>
              </w:rPr>
              <w:t>响应文件递交截止之日前36个月</w:t>
            </w:r>
            <w:r>
              <w:rPr>
                <w:rFonts w:hint="eastAsia" w:ascii="宋体" w:hAnsi="宋体"/>
                <w:szCs w:val="21"/>
              </w:rPr>
              <w:t>）具有类似项目业绩，每个得5分，最高得10分。</w:t>
            </w:r>
          </w:p>
          <w:p w14:paraId="0AFF4297">
            <w:pPr>
              <w:adjustRightInd w:val="0"/>
              <w:snapToGrid w:val="0"/>
              <w:jc w:val="left"/>
              <w:rPr>
                <w:rFonts w:hint="eastAsia" w:ascii="宋体" w:hAnsi="宋体"/>
                <w:b/>
                <w:bCs/>
                <w:szCs w:val="21"/>
              </w:rPr>
            </w:pPr>
            <w:r>
              <w:rPr>
                <w:rFonts w:ascii="宋体" w:hAnsi="宋体" w:cs="宋体"/>
                <w:b/>
                <w:bCs/>
                <w:spacing w:val="-2"/>
                <w:szCs w:val="21"/>
              </w:rPr>
              <w:t>提供合同复印件</w:t>
            </w:r>
            <w:r>
              <w:rPr>
                <w:rFonts w:hint="eastAsia" w:ascii="宋体" w:hAnsi="宋体" w:cs="宋体"/>
                <w:b/>
                <w:bCs/>
                <w:spacing w:val="-2"/>
                <w:szCs w:val="21"/>
              </w:rPr>
              <w:t>并</w:t>
            </w:r>
            <w:r>
              <w:rPr>
                <w:rFonts w:hint="eastAsia" w:ascii="宋体" w:hAnsi="宋体"/>
                <w:b/>
                <w:bCs/>
                <w:szCs w:val="21"/>
              </w:rPr>
              <w:t>加盖公章</w:t>
            </w:r>
            <w:r>
              <w:rPr>
                <w:rFonts w:ascii="宋体" w:hAnsi="宋体" w:cs="宋体"/>
                <w:b/>
                <w:bCs/>
                <w:spacing w:val="-2"/>
                <w:szCs w:val="21"/>
              </w:rPr>
              <w:t>，</w:t>
            </w:r>
            <w:r>
              <w:rPr>
                <w:rFonts w:hint="eastAsia" w:ascii="宋体" w:hAnsi="宋体" w:cs="宋体"/>
                <w:b/>
                <w:bCs/>
              </w:rPr>
              <w:t>未按要求提供或未提供的不得分。</w:t>
            </w:r>
          </w:p>
        </w:tc>
      </w:tr>
      <w:tr w14:paraId="5561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127" w:type="dxa"/>
            <w:vAlign w:val="center"/>
          </w:tcPr>
          <w:p w14:paraId="0A4C7BE4">
            <w:pPr>
              <w:jc w:val="center"/>
              <w:rPr>
                <w:rFonts w:ascii="宋体" w:hAnsi="宋体" w:cs="仿宋_GB2312"/>
                <w:spacing w:val="-4"/>
                <w:szCs w:val="21"/>
              </w:rPr>
            </w:pPr>
            <w:r>
              <w:rPr>
                <w:rFonts w:hint="eastAsia" w:ascii="宋体" w:hAnsi="宋体" w:cs="仿宋_GB2312"/>
                <w:spacing w:val="-4"/>
                <w:szCs w:val="21"/>
              </w:rPr>
              <w:t>合计</w:t>
            </w:r>
          </w:p>
        </w:tc>
        <w:tc>
          <w:tcPr>
            <w:tcW w:w="8721" w:type="dxa"/>
            <w:gridSpan w:val="3"/>
          </w:tcPr>
          <w:p w14:paraId="3339855D">
            <w:pPr>
              <w:ind w:firstLine="210" w:firstLineChars="100"/>
              <w:jc w:val="left"/>
              <w:rPr>
                <w:rFonts w:ascii="宋体" w:hAnsi="宋体" w:cs="仿宋_GB2312"/>
                <w:szCs w:val="21"/>
              </w:rPr>
            </w:pPr>
          </w:p>
          <w:p w14:paraId="40BE08B7">
            <w:pPr>
              <w:ind w:firstLine="3570" w:firstLineChars="1700"/>
              <w:jc w:val="left"/>
              <w:rPr>
                <w:rFonts w:ascii="宋体" w:hAnsi="宋体" w:cs="仿宋_GB2312"/>
                <w:spacing w:val="-4"/>
                <w:szCs w:val="21"/>
              </w:rPr>
            </w:pPr>
            <w:r>
              <w:rPr>
                <w:rFonts w:ascii="宋体" w:hAnsi="宋体" w:cs="仿宋_GB2312"/>
                <w:szCs w:val="21"/>
              </w:rPr>
              <w:t>100</w:t>
            </w:r>
            <w:r>
              <w:rPr>
                <w:rFonts w:hint="eastAsia" w:ascii="宋体" w:hAnsi="宋体" w:cs="仿宋_GB2312"/>
                <w:szCs w:val="21"/>
              </w:rPr>
              <w:t>分</w:t>
            </w:r>
          </w:p>
        </w:tc>
      </w:tr>
    </w:tbl>
    <w:p w14:paraId="0E62B8A2">
      <w:pPr>
        <w:spacing w:line="400" w:lineRule="exact"/>
        <w:rPr>
          <w:b/>
          <w:szCs w:val="21"/>
        </w:rPr>
      </w:pPr>
    </w:p>
    <w:p w14:paraId="04069C6B">
      <w:pPr>
        <w:spacing w:line="360" w:lineRule="auto"/>
        <w:rPr>
          <w:sz w:val="24"/>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F2DF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46F81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46F81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F0E87">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6AD1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46AD1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6A0"/>
    <w:rsid w:val="000317DF"/>
    <w:rsid w:val="000D6E7F"/>
    <w:rsid w:val="00125177"/>
    <w:rsid w:val="001744EF"/>
    <w:rsid w:val="00224F24"/>
    <w:rsid w:val="003507F9"/>
    <w:rsid w:val="00427837"/>
    <w:rsid w:val="005524D0"/>
    <w:rsid w:val="005616A0"/>
    <w:rsid w:val="005D564B"/>
    <w:rsid w:val="00630BB2"/>
    <w:rsid w:val="0065395B"/>
    <w:rsid w:val="007B7304"/>
    <w:rsid w:val="007C6286"/>
    <w:rsid w:val="007D07CC"/>
    <w:rsid w:val="008020F4"/>
    <w:rsid w:val="00A679C4"/>
    <w:rsid w:val="00A80D6F"/>
    <w:rsid w:val="00AC420A"/>
    <w:rsid w:val="00AE6DC2"/>
    <w:rsid w:val="00B402D9"/>
    <w:rsid w:val="00C10F0A"/>
    <w:rsid w:val="00C57D2F"/>
    <w:rsid w:val="00E855B8"/>
    <w:rsid w:val="00EC30B4"/>
    <w:rsid w:val="00F518FF"/>
    <w:rsid w:val="00F5766B"/>
    <w:rsid w:val="00F761D7"/>
    <w:rsid w:val="24441D38"/>
    <w:rsid w:val="34923D47"/>
    <w:rsid w:val="3A734DCE"/>
    <w:rsid w:val="3AEC10C9"/>
    <w:rsid w:val="41970EDB"/>
    <w:rsid w:val="70C525FF"/>
    <w:rsid w:val="74E90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3"/>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link w:val="14"/>
    <w:qFormat/>
    <w:uiPriority w:val="0"/>
    <w:pPr>
      <w:spacing w:after="120"/>
    </w:pPr>
    <w:rPr>
      <w:rFonts w:ascii="Times New Roman" w:hAnsi="Times New Roman" w:eastAsia="宋体" w:cs="Times New Roman"/>
    </w:rPr>
  </w:style>
  <w:style w:type="paragraph" w:styleId="6">
    <w:name w:val="Body Text Indent"/>
    <w:basedOn w:val="1"/>
    <w:link w:val="15"/>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99"/>
    <w:pPr>
      <w:spacing w:after="120" w:line="480" w:lineRule="auto"/>
    </w:pPr>
  </w:style>
  <w:style w:type="paragraph" w:styleId="10">
    <w:name w:val="Body Text First Indent 2"/>
    <w:basedOn w:val="6"/>
    <w:next w:val="4"/>
    <w:link w:val="16"/>
    <w:qFormat/>
    <w:uiPriority w:val="99"/>
    <w:pPr>
      <w:ind w:firstLine="420" w:firstLineChars="200"/>
    </w:pPr>
    <w:rPr>
      <w:rFonts w:ascii="Times New Roman" w:hAnsi="Times New Roman" w:eastAsia="宋体" w:cs="Times New Roman"/>
    </w:rPr>
  </w:style>
  <w:style w:type="character" w:customStyle="1" w:styleId="13">
    <w:name w:val="标题 2 字符"/>
    <w:basedOn w:val="12"/>
    <w:link w:val="2"/>
    <w:semiHidden/>
    <w:qFormat/>
    <w:uiPriority w:val="0"/>
    <w:rPr>
      <w:rFonts w:asciiTheme="majorHAnsi" w:hAnsiTheme="majorHAnsi" w:eastAsiaTheme="majorEastAsia" w:cstheme="majorBidi"/>
      <w:b/>
      <w:bCs/>
      <w:kern w:val="2"/>
      <w:sz w:val="32"/>
      <w:szCs w:val="32"/>
    </w:rPr>
  </w:style>
  <w:style w:type="character" w:customStyle="1" w:styleId="14">
    <w:name w:val="正文文本 字符"/>
    <w:basedOn w:val="12"/>
    <w:link w:val="5"/>
    <w:qFormat/>
    <w:uiPriority w:val="0"/>
    <w:rPr>
      <w:rFonts w:ascii="Times New Roman" w:hAnsi="Times New Roman" w:eastAsia="宋体" w:cs="Times New Roman"/>
      <w:kern w:val="2"/>
      <w:sz w:val="21"/>
      <w:szCs w:val="24"/>
    </w:rPr>
  </w:style>
  <w:style w:type="character" w:customStyle="1" w:styleId="15">
    <w:name w:val="正文文本缩进 字符"/>
    <w:basedOn w:val="12"/>
    <w:link w:val="6"/>
    <w:uiPriority w:val="0"/>
    <w:rPr>
      <w:kern w:val="2"/>
      <w:sz w:val="21"/>
      <w:szCs w:val="24"/>
    </w:rPr>
  </w:style>
  <w:style w:type="character" w:customStyle="1" w:styleId="16">
    <w:name w:val="正文文本首行缩进 2 字符"/>
    <w:basedOn w:val="15"/>
    <w:link w:val="10"/>
    <w:qFormat/>
    <w:uiPriority w:val="99"/>
    <w:rPr>
      <w:rFonts w:ascii="Times New Roman" w:hAnsi="Times New Roman" w:eastAsia="宋体" w:cs="Times New Roman"/>
      <w:kern w:val="2"/>
      <w:sz w:val="21"/>
      <w:szCs w:val="24"/>
    </w:rPr>
  </w:style>
  <w:style w:type="paragraph" w:customStyle="1" w:styleId="17">
    <w:name w:val="Normal_1"/>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5333</Words>
  <Characters>5398</Characters>
  <Lines>49</Lines>
  <Paragraphs>13</Paragraphs>
  <TotalTime>8</TotalTime>
  <ScaleCrop>false</ScaleCrop>
  <LinksUpToDate>false</LinksUpToDate>
  <CharactersWithSpaces>5399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2026-04-24T02:58:00Z</dcterms:created>
  <dc:creator>Administrator</dc:creator>
  <cp:lastModifiedBy>憧憬</cp:lastModifiedBy>
  <cp:lastPrinted>2026-05-14T01:06:00Z</cp:lastPrinted>
  <dcterms:modified xsi:type="dcterms:W3CDTF">2026-05-14T03:19:09Z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eyJoZGlkIjoiMTc1N2YxYWE5MDY4MzM4MjI2MGE5MjQxY2JlMTNkOTciLCJ1c2VySWQiOiIxMTI1MzgyNjA3In0=</vt:lpwstr>
  </property>
  <property fmtid="{D5CDD505-2E9C-101B-9397-08002B2CF9AE}" pid="4" name="ICV">
    <vt:lpwstr>DA712D7E7576404BB5A5D480DB2264DC_13</vt:lpwstr>
  </property>
</Properties>
</file>