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90A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192" w:beforeAutospacing="0" w:after="96" w:afterAutospacing="0" w:line="384" w:lineRule="atLeast"/>
        <w:ind w:left="0" w:right="0" w:firstLine="0"/>
        <w:jc w:val="center"/>
        <w:textAlignment w:val="baseline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sz w:val="24"/>
          <w:szCs w:val="24"/>
        </w:rPr>
      </w:pPr>
      <w:r>
        <w:rPr>
          <w:rStyle w:val="6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sz w:val="36"/>
          <w:szCs w:val="36"/>
          <w:shd w:val="clear" w:fill="FCFCFC"/>
          <w:vertAlign w:val="baseline"/>
        </w:rPr>
        <w:t>资产清查项目评审打分标准</w:t>
      </w:r>
      <w:r>
        <w:rPr>
          <w:rStyle w:val="6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sz w:val="24"/>
          <w:szCs w:val="24"/>
          <w:shd w:val="clear" w:fill="FCFCFC"/>
          <w:vertAlign w:val="baseline"/>
        </w:rPr>
        <w:t>​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sz w:val="24"/>
          <w:szCs w:val="24"/>
          <w:shd w:val="clear" w:fill="FCFCFC"/>
          <w:vertAlign w:val="baseline"/>
        </w:rPr>
        <w:t>​</w:t>
      </w:r>
    </w:p>
    <w:tbl>
      <w:tblPr>
        <w:tblStyle w:val="4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3"/>
        <w:gridCol w:w="1585"/>
        <w:gridCol w:w="1290"/>
        <w:gridCol w:w="557"/>
        <w:gridCol w:w="4019"/>
      </w:tblGrid>
      <w:tr w14:paraId="255E1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664" w:type="pct"/>
            <w:tcBorders>
              <w:top w:val="single" w:color="4874CB" w:themeColor="accent1" w:sz="6" w:space="0"/>
              <w:left w:val="single" w:color="4874CB" w:themeColor="accent1" w:sz="6" w:space="0"/>
              <w:bottom w:val="single" w:color="4874CB" w:themeColor="accent1" w:sz="6" w:space="0"/>
              <w:right w:val="single" w:color="B5C7EA" w:themeColor="accent1" w:themeTint="66" w:sz="6" w:space="0"/>
            </w:tcBorders>
            <w:shd w:val="clear" w:color="auto" w:fill="4874CB" w:themeFill="accent1"/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14:paraId="1BFC4AB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i w:val="0"/>
                <w:color w:val="FFFFFF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FFFFFF"/>
                <w:sz w:val="19"/>
                <w:szCs w:val="19"/>
                <w:vertAlign w:val="baseline"/>
              </w:rPr>
              <w:t>序号</w:t>
            </w:r>
          </w:p>
        </w:tc>
        <w:tc>
          <w:tcPr>
            <w:tcW w:w="922" w:type="pct"/>
            <w:tcBorders>
              <w:top w:val="single" w:color="4874CB" w:themeColor="accent1" w:sz="6" w:space="0"/>
              <w:left w:val="single" w:color="B5C7EA" w:themeColor="accent1" w:themeTint="66" w:sz="6" w:space="0"/>
              <w:bottom w:val="single" w:color="4874CB" w:themeColor="accent1" w:sz="6" w:space="0"/>
              <w:right w:val="single" w:color="B5C7EA" w:themeColor="accent1" w:themeTint="66" w:sz="6" w:space="0"/>
            </w:tcBorders>
            <w:shd w:val="clear" w:color="auto" w:fill="4874CB" w:themeFill="accent1"/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14:paraId="22C75CE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i w:val="0"/>
                <w:color w:val="FFFFFF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FFFFFF"/>
                <w:sz w:val="19"/>
                <w:szCs w:val="19"/>
                <w:vertAlign w:val="baseline"/>
              </w:rPr>
              <w:t>评审因素</w:t>
            </w:r>
          </w:p>
        </w:tc>
        <w:tc>
          <w:tcPr>
            <w:tcW w:w="750" w:type="pct"/>
            <w:tcBorders>
              <w:top w:val="single" w:color="4874CB" w:themeColor="accent1" w:sz="6" w:space="0"/>
              <w:left w:val="single" w:color="B5C7EA" w:themeColor="accent1" w:themeTint="66" w:sz="6" w:space="0"/>
              <w:bottom w:val="single" w:color="4874CB" w:themeColor="accent1" w:sz="6" w:space="0"/>
              <w:right w:val="single" w:color="B5C7EA" w:themeColor="accent1" w:themeTint="66" w:sz="6" w:space="0"/>
            </w:tcBorders>
            <w:shd w:val="clear" w:color="auto" w:fill="4874CB" w:themeFill="accent1"/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14:paraId="2D3A0C0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i w:val="0"/>
                <w:color w:val="FFFFFF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FFFFFF"/>
                <w:sz w:val="19"/>
                <w:szCs w:val="19"/>
                <w:vertAlign w:val="baseline"/>
              </w:rPr>
              <w:t>评审子因素</w:t>
            </w:r>
          </w:p>
        </w:tc>
        <w:tc>
          <w:tcPr>
            <w:tcW w:w="324" w:type="pct"/>
            <w:tcBorders>
              <w:top w:val="single" w:color="4874CB" w:themeColor="accent1" w:sz="6" w:space="0"/>
              <w:left w:val="single" w:color="B5C7EA" w:themeColor="accent1" w:themeTint="66" w:sz="6" w:space="0"/>
              <w:bottom w:val="single" w:color="4874CB" w:themeColor="accent1" w:sz="6" w:space="0"/>
              <w:right w:val="single" w:color="B5C7EA" w:themeColor="accent1" w:themeTint="66" w:sz="6" w:space="0"/>
            </w:tcBorders>
            <w:shd w:val="clear" w:color="auto" w:fill="4874CB" w:themeFill="accent1"/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14:paraId="1E702B0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i w:val="0"/>
                <w:color w:val="FFFFFF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FFFFFF"/>
                <w:sz w:val="19"/>
                <w:szCs w:val="19"/>
                <w:vertAlign w:val="baseline"/>
              </w:rPr>
              <w:t>分值</w:t>
            </w:r>
          </w:p>
        </w:tc>
        <w:tc>
          <w:tcPr>
            <w:tcW w:w="2337" w:type="pct"/>
            <w:tcBorders>
              <w:top w:val="single" w:color="4874CB" w:themeColor="accent1" w:sz="6" w:space="0"/>
              <w:left w:val="single" w:color="B5C7EA" w:themeColor="accent1" w:themeTint="66" w:sz="6" w:space="0"/>
              <w:bottom w:val="single" w:color="4874CB" w:themeColor="accent1" w:sz="6" w:space="0"/>
              <w:right w:val="single" w:color="4874CB" w:themeColor="accent1" w:sz="6" w:space="0"/>
            </w:tcBorders>
            <w:shd w:val="clear" w:color="auto" w:fill="4874CB" w:themeFill="accent1"/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14:paraId="7419F70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i w:val="0"/>
                <w:color w:val="FFFFFF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FFFFFF"/>
                <w:sz w:val="19"/>
                <w:szCs w:val="19"/>
                <w:vertAlign w:val="baseline"/>
              </w:rPr>
              <w:t>评分标准</w:t>
            </w:r>
          </w:p>
        </w:tc>
      </w:tr>
      <w:tr w14:paraId="07E66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64" w:type="pct"/>
            <w:tcBorders>
              <w:top w:val="single" w:color="4874CB" w:themeColor="accent1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14:paraId="2974626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</w:rPr>
              <w:t>​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9"/>
                <w:szCs w:val="19"/>
                <w:vertAlign w:val="baseline"/>
              </w:rPr>
              <w:t>​1​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</w:rPr>
              <w:t>​</w:t>
            </w:r>
          </w:p>
        </w:tc>
        <w:tc>
          <w:tcPr>
            <w:tcW w:w="922" w:type="pct"/>
            <w:tcBorders>
              <w:top w:val="single" w:color="4874CB" w:themeColor="accent1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14:paraId="2F4B4D3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9"/>
                <w:szCs w:val="19"/>
                <w:vertAlign w:val="baseline"/>
              </w:rPr>
              <w:t>报价部分 (</w:t>
            </w:r>
            <w:r>
              <w:rPr>
                <w:rStyle w:val="6"/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sz w:val="19"/>
                <w:szCs w:val="19"/>
                <w:vertAlign w:val="baseline"/>
                <w:lang w:val="en-US" w:eastAsia="zh-CN"/>
              </w:rPr>
              <w:t>50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9"/>
                <w:szCs w:val="19"/>
                <w:vertAlign w:val="baseline"/>
              </w:rPr>
              <w:t>分)​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</w:rPr>
              <w:t>​</w:t>
            </w:r>
          </w:p>
        </w:tc>
        <w:tc>
          <w:tcPr>
            <w:tcW w:w="750" w:type="pct"/>
            <w:tcBorders>
              <w:top w:val="single" w:color="4874CB" w:themeColor="accent1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14:paraId="372DB6E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9"/>
                <w:szCs w:val="19"/>
                <w:vertAlign w:val="baseline"/>
              </w:rPr>
              <w:t>报价合理性​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</w:rPr>
              <w:t>​</w:t>
            </w:r>
          </w:p>
        </w:tc>
        <w:tc>
          <w:tcPr>
            <w:tcW w:w="324" w:type="pct"/>
            <w:tcBorders>
              <w:top w:val="single" w:color="4874CB" w:themeColor="accent1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14:paraId="2191469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  <w:lang w:val="en-US" w:eastAsia="zh-CN"/>
              </w:rPr>
              <w:t>50</w:t>
            </w:r>
          </w:p>
        </w:tc>
        <w:tc>
          <w:tcPr>
            <w:tcW w:w="2337" w:type="pct"/>
            <w:tcBorders>
              <w:top w:val="single" w:color="4874CB" w:themeColor="accent1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</w:tcBorders>
            <w:shd w:val="clear" w:color="auto" w:fill="FFFFFF"/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14:paraId="07F38B6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</w:rPr>
              <w:t>​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9"/>
                <w:szCs w:val="19"/>
                <w:vertAlign w:val="baseline"/>
              </w:rPr>
              <w:t>​基准价设定：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</w:rPr>
              <w:t>取所有有效投标报价的算术平均值作为评标基准价，基准价得满分。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</w:rPr>
              <w:t>​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9"/>
                <w:szCs w:val="19"/>
                <w:vertAlign w:val="baseline"/>
              </w:rPr>
              <w:t>​报价得分公式：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</w:rPr>
              <w:t>报价得分=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</w:rPr>
              <w:t>0-投标报价偏差率×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</w:rPr>
              <w:t>0</w:t>
            </w:r>
          </w:p>
          <w:p w14:paraId="3E1D273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</w:rPr>
              <w:t>投标报价偏差率=（评标基准价-投标报价）/评标基准价，投标报价偏差率为绝对值。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</w:rPr>
              <w:t>​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9"/>
                <w:szCs w:val="19"/>
                <w:vertAlign w:val="baseline"/>
              </w:rPr>
              <w:t>​异常低价处理：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</w:rPr>
              <w:t>报价明显低于其他有效报价且无法书面说明合理性的，作无效投标处理。</w:t>
            </w:r>
            <w:bookmarkStart w:id="0" w:name="_GoBack"/>
            <w:bookmarkEnd w:id="0"/>
          </w:p>
        </w:tc>
      </w:tr>
      <w:tr w14:paraId="74933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64" w:type="pct"/>
            <w:vMerge w:val="restart"/>
            <w:tcBorders>
              <w:top w:val="single" w:color="B5C7EA" w:themeColor="accent1" w:themeTint="66" w:sz="6" w:space="0"/>
              <w:left w:val="single" w:color="4874CB" w:themeColor="accent1" w:sz="6" w:space="0"/>
              <w:right w:val="single" w:color="B5C7EA" w:themeColor="accent1" w:themeTint="66" w:sz="6" w:space="0"/>
            </w:tcBorders>
            <w:shd w:val="clear" w:color="auto" w:fill="FFFFFF"/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14:paraId="69E6329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</w:rPr>
              <w:t>​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9"/>
                <w:szCs w:val="19"/>
                <w:vertAlign w:val="baseline"/>
              </w:rPr>
              <w:t>​​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</w:rPr>
              <w:t>​</w:t>
            </w:r>
          </w:p>
          <w:p w14:paraId="41278FA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</w:rPr>
              <w:t>​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9"/>
                <w:szCs w:val="19"/>
                <w:vertAlign w:val="baseline"/>
              </w:rPr>
              <w:t>​</w:t>
            </w:r>
            <w:r>
              <w:rPr>
                <w:rStyle w:val="6"/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sz w:val="19"/>
                <w:szCs w:val="19"/>
                <w:vertAlign w:val="baseline"/>
                <w:lang w:val="en-US" w:eastAsia="zh-CN"/>
              </w:rPr>
              <w:t>2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9"/>
                <w:szCs w:val="19"/>
                <w:vertAlign w:val="baseline"/>
              </w:rPr>
              <w:t>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</w:rPr>
              <w:t>​</w:t>
            </w:r>
          </w:p>
        </w:tc>
        <w:tc>
          <w:tcPr>
            <w:tcW w:w="922" w:type="pct"/>
            <w:vMerge w:val="restart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14:paraId="6E65FCF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9"/>
                <w:szCs w:val="19"/>
                <w:vertAlign w:val="baseline"/>
              </w:rPr>
              <w:t>技术部分 (</w:t>
            </w:r>
            <w:r>
              <w:rPr>
                <w:rStyle w:val="6"/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sz w:val="19"/>
                <w:szCs w:val="19"/>
                <w:vertAlign w:val="baseline"/>
                <w:lang w:val="en-US" w:eastAsia="zh-CN"/>
              </w:rPr>
              <w:t>25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9"/>
                <w:szCs w:val="19"/>
                <w:vertAlign w:val="baseline"/>
              </w:rPr>
              <w:t>分)​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</w:rPr>
              <w:t>​</w:t>
            </w:r>
          </w:p>
        </w:tc>
        <w:tc>
          <w:tcPr>
            <w:tcW w:w="750" w:type="pct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14:paraId="38B1D13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9"/>
                <w:szCs w:val="19"/>
                <w:vertAlign w:val="baseline"/>
              </w:rPr>
              <w:t>清查实施方案​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</w:rPr>
              <w:t>​</w:t>
            </w:r>
          </w:p>
        </w:tc>
        <w:tc>
          <w:tcPr>
            <w:tcW w:w="324" w:type="pct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14:paraId="4ED0A64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</w:rPr>
              <w:t>1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  <w:lang w:val="en-US" w:eastAsia="zh-CN"/>
              </w:rPr>
              <w:t>0</w:t>
            </w:r>
          </w:p>
        </w:tc>
        <w:tc>
          <w:tcPr>
            <w:tcW w:w="2337" w:type="pct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</w:tcBorders>
            <w:shd w:val="clear" w:color="auto" w:fill="FFFFFF"/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14:paraId="4EA56B3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</w:rPr>
              <w:t>方案需包含：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</w:rPr>
              <w:t>• 资产盘点流程（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</w:rPr>
              <w:t>• RFID/二维码等智能识别技术应用（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</w:rPr>
              <w:t xml:space="preserve">• 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  <w:lang w:val="en-US" w:eastAsia="zh-CN"/>
              </w:rPr>
              <w:t>资产报废处置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</w:rPr>
              <w:t>处理机制（5分）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</w:rPr>
              <w:t>每缺一项扣5分，未提供计0分。</w:t>
            </w:r>
          </w:p>
        </w:tc>
      </w:tr>
      <w:tr w14:paraId="40E44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64" w:type="pct"/>
            <w:vMerge w:val="continue"/>
            <w:tcBorders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14:paraId="2F28E04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</w:rPr>
            </w:pPr>
          </w:p>
        </w:tc>
        <w:tc>
          <w:tcPr>
            <w:tcW w:w="922" w:type="pct"/>
            <w:vMerge w:val="continue"/>
            <w:tcBorders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14:paraId="39FDD16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750" w:type="pct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14:paraId="7637834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9"/>
                <w:szCs w:val="19"/>
                <w:vertAlign w:val="baseline"/>
              </w:rPr>
              <w:t>数据治理方案​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</w:rPr>
              <w:t>​</w:t>
            </w:r>
          </w:p>
        </w:tc>
        <w:tc>
          <w:tcPr>
            <w:tcW w:w="324" w:type="pct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14:paraId="7619A25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  <w:lang w:val="en-US" w:eastAsia="zh-CN"/>
              </w:rPr>
              <w:t>15</w:t>
            </w:r>
          </w:p>
        </w:tc>
        <w:tc>
          <w:tcPr>
            <w:tcW w:w="2337" w:type="pct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</w:tcBorders>
            <w:shd w:val="clear" w:color="auto" w:fill="FFFFFF"/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14:paraId="087F8EE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</w:rPr>
              <w:t>方案需包含：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</w:rPr>
              <w:t xml:space="preserve">• 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  <w:lang w:val="en-US" w:eastAsia="zh-CN"/>
              </w:rPr>
              <w:t>资产卡片图片上传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</w:rPr>
              <w:t>（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</w:rPr>
              <w:t xml:space="preserve">• 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  <w:lang w:val="en-US" w:eastAsia="zh-CN"/>
              </w:rPr>
              <w:t>数据治理报告生成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</w:rPr>
              <w:t>（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</w:rPr>
              <w:t>每缺一项扣相应分数。</w:t>
            </w:r>
          </w:p>
        </w:tc>
      </w:tr>
      <w:tr w14:paraId="4A539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  <w:jc w:val="center"/>
        </w:trPr>
        <w:tc>
          <w:tcPr>
            <w:tcW w:w="664" w:type="pct"/>
            <w:vMerge w:val="restart"/>
            <w:tcBorders>
              <w:top w:val="single" w:color="B5C7EA" w:themeColor="accent1" w:themeTint="66" w:sz="6" w:space="0"/>
              <w:left w:val="single" w:color="4874CB" w:themeColor="accent1" w:sz="6" w:space="0"/>
              <w:right w:val="single" w:color="B5C7EA" w:themeColor="accent1" w:themeTint="66" w:sz="6" w:space="0"/>
            </w:tcBorders>
            <w:shd w:val="clear" w:color="auto" w:fill="FFFFFF"/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14:paraId="13793DA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</w:rPr>
              <w:t>​​</w:t>
            </w:r>
          </w:p>
          <w:p w14:paraId="737119D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</w:rPr>
            </w:pPr>
            <w:r>
              <w:rPr>
                <w:rStyle w:val="6"/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sz w:val="19"/>
                <w:szCs w:val="19"/>
                <w:vertAlign w:val="baseline"/>
                <w:lang w:val="en-US" w:eastAsia="zh-CN"/>
              </w:rPr>
              <w:t>3</w:t>
            </w:r>
          </w:p>
          <w:p w14:paraId="53A3DFF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</w:rPr>
              <w:t>​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9"/>
                <w:szCs w:val="19"/>
                <w:vertAlign w:val="baseline"/>
              </w:rPr>
              <w:t>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</w:rPr>
              <w:t>​</w:t>
            </w:r>
          </w:p>
        </w:tc>
        <w:tc>
          <w:tcPr>
            <w:tcW w:w="922" w:type="pct"/>
            <w:vMerge w:val="restart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14:paraId="70F9FDA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9"/>
                <w:szCs w:val="19"/>
                <w:vertAlign w:val="baseline"/>
              </w:rPr>
              <w:t>商务部分 (</w:t>
            </w:r>
            <w:r>
              <w:rPr>
                <w:rStyle w:val="6"/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sz w:val="19"/>
                <w:szCs w:val="19"/>
                <w:vertAlign w:val="baseline"/>
                <w:lang w:val="en-US" w:eastAsia="zh-CN"/>
              </w:rPr>
              <w:t>25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9"/>
                <w:szCs w:val="19"/>
                <w:vertAlign w:val="baseline"/>
              </w:rPr>
              <w:t>分)​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</w:rPr>
              <w:t>​</w:t>
            </w:r>
          </w:p>
        </w:tc>
        <w:tc>
          <w:tcPr>
            <w:tcW w:w="750" w:type="pct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14:paraId="075AA73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9"/>
                <w:szCs w:val="19"/>
                <w:vertAlign w:val="baseline"/>
              </w:rPr>
              <w:t>项目经验​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</w:rPr>
              <w:t>​</w:t>
            </w:r>
          </w:p>
        </w:tc>
        <w:tc>
          <w:tcPr>
            <w:tcW w:w="324" w:type="pct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14:paraId="12B86AA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  <w:lang w:val="en-US" w:eastAsia="zh-CN"/>
              </w:rPr>
              <w:t>20</w:t>
            </w:r>
          </w:p>
        </w:tc>
        <w:tc>
          <w:tcPr>
            <w:tcW w:w="2337" w:type="pct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</w:tcBorders>
            <w:shd w:val="clear" w:color="auto" w:fill="FFFFFF"/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14:paraId="76D14B8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</w:rPr>
              <w:t>近三年完成同类项目：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</w:rPr>
              <w:t xml:space="preserve">• 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  <w:lang w:val="en-US" w:eastAsia="zh-CN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</w:rPr>
              <w:t>级行政事业单位项目（每个4分）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</w:rPr>
              <w:t xml:space="preserve">• 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  <w:lang w:val="en-US"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</w:rPr>
              <w:t>级行政事业单位项目（每个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</w:rPr>
              <w:t>最高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</w:rPr>
              <w:t>分（须提供合同）。</w:t>
            </w:r>
          </w:p>
        </w:tc>
      </w:tr>
      <w:tr w14:paraId="11291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  <w:jc w:val="center"/>
        </w:trPr>
        <w:tc>
          <w:tcPr>
            <w:tcW w:w="664" w:type="pct"/>
            <w:vMerge w:val="continue"/>
            <w:tcBorders>
              <w:left w:val="single" w:color="4874CB" w:themeColor="accent1" w:sz="6" w:space="0"/>
              <w:right w:val="single" w:color="B5C7EA" w:themeColor="accent1" w:themeTint="66" w:sz="6" w:space="0"/>
            </w:tcBorders>
            <w:shd w:val="clear" w:color="auto" w:fill="FFFFFF"/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14:paraId="231E519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</w:rPr>
            </w:pPr>
          </w:p>
        </w:tc>
        <w:tc>
          <w:tcPr>
            <w:tcW w:w="922" w:type="pct"/>
            <w:vMerge w:val="continue"/>
            <w:tcBorders>
              <w:left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14:paraId="25F8CD3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750" w:type="pct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14:paraId="4DBEF79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9"/>
                <w:szCs w:val="19"/>
                <w:vertAlign w:val="baseline"/>
              </w:rPr>
              <w:t>服务保障​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</w:rPr>
              <w:t>​</w:t>
            </w:r>
          </w:p>
        </w:tc>
        <w:tc>
          <w:tcPr>
            <w:tcW w:w="324" w:type="pct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14:paraId="556AADA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  <w:lang w:val="en-US" w:eastAsia="zh-CN"/>
              </w:rPr>
              <w:t>5</w:t>
            </w:r>
          </w:p>
        </w:tc>
        <w:tc>
          <w:tcPr>
            <w:tcW w:w="2337" w:type="pct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</w:tcBorders>
            <w:shd w:val="clear" w:color="auto" w:fill="FFFFFF"/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14:paraId="5C59762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</w:rPr>
              <w:t>承诺：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</w:rPr>
              <w:t>• 7×24小时应急响应（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</w:rPr>
              <w:t>• 数据保密措施（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19"/>
                <w:szCs w:val="19"/>
                <w:vertAlign w:val="baseline"/>
              </w:rPr>
              <w:t>未承诺项不计分。</w:t>
            </w:r>
          </w:p>
        </w:tc>
      </w:tr>
    </w:tbl>
    <w:p w14:paraId="7C608F0A"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D74A4"/>
    <w:rsid w:val="051D35C4"/>
    <w:rsid w:val="1BE42F6D"/>
    <w:rsid w:val="29E5715F"/>
    <w:rsid w:val="50655BF6"/>
    <w:rsid w:val="5B966E23"/>
    <w:rsid w:val="634D74A4"/>
    <w:rsid w:val="7FA6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403</Words>
  <Characters>450</Characters>
  <Lines>0</Lines>
  <Paragraphs>0</Paragraphs>
  <TotalTime>24</TotalTime>
  <ScaleCrop>false</ScaleCrop>
  <LinksUpToDate>false</LinksUpToDate>
  <CharactersWithSpaces>469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2025-07-16T09:06:00Z</dcterms:created>
  <dc:creator>木偶桑</dc:creator>
  <cp:lastModifiedBy>木偶桑</cp:lastModifiedBy>
  <dcterms:modified xsi:type="dcterms:W3CDTF">2025-07-17T09:14:52Z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29CA02109BD84F4DBF60AEAD01683559_13</vt:lpwstr>
  </property>
  <property fmtid="{D5CDD505-2E9C-101B-9397-08002B2CF9AE}" pid="4" name="KSOTemplateDocerSaveRecord">
    <vt:lpwstr>eyJoZGlkIjoiODQwOGJjM2YzYTVkYTZmMjQ2NzhkMDViOTAxZDY5MmUiLCJ1c2VySWQiOiI0NjgwNDYzMDgifQ==</vt:lpwstr>
  </property>
</Properties>
</file>