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1A696">
      <w:pPr>
        <w:adjustRightInd w:val="0"/>
        <w:snapToGrid w:val="0"/>
        <w:spacing w:line="360" w:lineRule="auto"/>
        <w:jc w:val="center"/>
        <w:rPr>
          <w:rFonts w:hint="default" w:ascii="宋体" w:hAnsi="宋体" w:cs="宋体"/>
          <w:b/>
          <w:color w:val="000000"/>
          <w:sz w:val="32"/>
          <w:szCs w:val="32"/>
          <w:lang w:val="en-US" w:eastAsia="zh-CN"/>
        </w:rPr>
      </w:pPr>
      <w:r>
        <w:rPr>
          <w:rFonts w:hint="eastAsia" w:ascii="宋体" w:hAnsi="宋体" w:eastAsia="宋体" w:cs="宋体"/>
          <w:b/>
          <w:color w:val="000000"/>
          <w:sz w:val="32"/>
          <w:szCs w:val="32"/>
          <w:lang w:eastAsia="zh-CN"/>
        </w:rPr>
        <w:t>202</w:t>
      </w:r>
      <w:r>
        <w:rPr>
          <w:rFonts w:hint="eastAsia" w:ascii="宋体" w:hAnsi="宋体" w:cs="宋体"/>
          <w:b/>
          <w:color w:val="000000"/>
          <w:sz w:val="32"/>
          <w:szCs w:val="32"/>
          <w:lang w:val="en-US" w:eastAsia="zh-CN"/>
        </w:rPr>
        <w:t>5</w:t>
      </w:r>
      <w:r>
        <w:rPr>
          <w:rFonts w:hint="eastAsia" w:ascii="宋体" w:hAnsi="宋体" w:eastAsia="宋体" w:cs="宋体"/>
          <w:b/>
          <w:color w:val="000000"/>
          <w:sz w:val="32"/>
          <w:szCs w:val="32"/>
          <w:lang w:eastAsia="zh-CN"/>
        </w:rPr>
        <w:t>年</w:t>
      </w:r>
      <w:r>
        <w:rPr>
          <w:rFonts w:hint="eastAsia" w:ascii="宋体" w:hAnsi="宋体" w:cs="宋体"/>
          <w:b/>
          <w:color w:val="000000"/>
          <w:sz w:val="32"/>
          <w:szCs w:val="32"/>
          <w:lang w:val="en-US" w:eastAsia="zh-CN"/>
        </w:rPr>
        <w:t>新生</w:t>
      </w:r>
      <w:bookmarkStart w:id="0" w:name="_GoBack"/>
      <w:bookmarkEnd w:id="0"/>
      <w:r>
        <w:rPr>
          <w:rFonts w:hint="eastAsia" w:ascii="宋体" w:hAnsi="宋体" w:cs="宋体"/>
          <w:b/>
          <w:color w:val="000000"/>
          <w:sz w:val="32"/>
          <w:szCs w:val="32"/>
          <w:lang w:eastAsia="zh-CN"/>
        </w:rPr>
        <w:t>军训服采购需求</w:t>
      </w:r>
    </w:p>
    <w:p w14:paraId="56DB6D3B">
      <w:pPr>
        <w:adjustRightInd w:val="0"/>
        <w:snapToGrid w:val="0"/>
        <w:spacing w:line="360" w:lineRule="auto"/>
        <w:jc w:val="center"/>
        <w:rPr>
          <w:rFonts w:hint="eastAsia" w:ascii="宋体" w:hAnsi="宋体" w:cs="宋体"/>
          <w:b/>
          <w:color w:val="000000"/>
          <w:sz w:val="32"/>
          <w:szCs w:val="32"/>
          <w:lang w:val="en-US" w:eastAsia="zh-CN"/>
        </w:rPr>
      </w:pPr>
    </w:p>
    <w:p w14:paraId="21D1CF92">
      <w:pPr>
        <w:adjustRightInd w:val="0"/>
        <w:snapToGrid w:val="0"/>
        <w:spacing w:line="360" w:lineRule="auto"/>
        <w:jc w:val="left"/>
        <w:rPr>
          <w:rFonts w:hint="default" w:ascii="宋体" w:hAnsi="宋体" w:cs="宋体"/>
          <w:b/>
          <w:color w:val="000000"/>
          <w:sz w:val="32"/>
          <w:szCs w:val="32"/>
          <w:lang w:val="en-US" w:eastAsia="zh-CN"/>
        </w:rPr>
      </w:pPr>
      <w:r>
        <w:rPr>
          <w:rFonts w:hint="eastAsia" w:ascii="宋体" w:hAnsi="宋体" w:cs="宋体"/>
          <w:b/>
          <w:color w:val="000000"/>
          <w:sz w:val="32"/>
          <w:szCs w:val="32"/>
          <w:lang w:val="en-US" w:eastAsia="zh-CN"/>
        </w:rPr>
        <w:t>总控制价：4.55万元</w:t>
      </w:r>
    </w:p>
    <w:p w14:paraId="43115164">
      <w:pPr>
        <w:adjustRightInd w:val="0"/>
        <w:snapToGrid w:val="0"/>
        <w:spacing w:line="360" w:lineRule="auto"/>
        <w:jc w:val="left"/>
        <w:rPr>
          <w:rFonts w:hint="default" w:ascii="宋体" w:hAnsi="宋体" w:cs="宋体"/>
          <w:b/>
          <w:color w:val="000000"/>
          <w:sz w:val="32"/>
          <w:szCs w:val="32"/>
          <w:u w:val="single"/>
          <w:lang w:val="en-US" w:eastAsia="zh-CN"/>
        </w:rPr>
      </w:pPr>
      <w:r>
        <w:rPr>
          <w:rFonts w:hint="eastAsia" w:ascii="宋体" w:hAnsi="宋体" w:cs="宋体"/>
          <w:b/>
          <w:color w:val="000000"/>
          <w:sz w:val="32"/>
          <w:szCs w:val="32"/>
          <w:lang w:val="en-US" w:eastAsia="zh-CN"/>
        </w:rPr>
        <w:t>采购方式：</w:t>
      </w:r>
      <w:r>
        <w:rPr>
          <w:rFonts w:hint="eastAsia" w:ascii="宋体" w:hAnsi="宋体" w:cs="宋体"/>
          <w:b/>
          <w:color w:val="000000"/>
          <w:sz w:val="32"/>
          <w:szCs w:val="32"/>
          <w:u w:val="single"/>
          <w:lang w:val="en-US" w:eastAsia="zh-CN"/>
        </w:rPr>
        <w:t xml:space="preserve">  综合评分法                      </w:t>
      </w:r>
    </w:p>
    <w:p w14:paraId="0582EBEE">
      <w:pPr>
        <w:pStyle w:val="6"/>
        <w:numPr>
          <w:ilvl w:val="0"/>
          <w:numId w:val="0"/>
        </w:numPr>
        <w:jc w:val="both"/>
        <w:rPr>
          <w:rFonts w:hint="default" w:ascii="宋体" w:hAnsi="宋体" w:eastAsia="宋体" w:cs="宋体"/>
          <w:b/>
          <w:bCs/>
          <w:color w:val="000000"/>
          <w:sz w:val="28"/>
          <w:szCs w:val="28"/>
          <w:lang w:val="en-US" w:eastAsia="zh-CN"/>
        </w:rPr>
      </w:pPr>
      <w:r>
        <w:rPr>
          <w:rFonts w:hint="eastAsia" w:cs="宋体"/>
          <w:b/>
          <w:bCs/>
          <w:color w:val="000000"/>
          <w:sz w:val="28"/>
          <w:szCs w:val="28"/>
          <w:lang w:val="en-US" w:eastAsia="zh-CN"/>
        </w:rPr>
        <w:t>一、</w:t>
      </w:r>
      <w:r>
        <w:rPr>
          <w:rFonts w:hint="eastAsia" w:ascii="宋体" w:hAnsi="宋体" w:eastAsia="宋体" w:cs="宋体"/>
          <w:b/>
          <w:bCs/>
          <w:color w:val="000000"/>
          <w:sz w:val="28"/>
          <w:szCs w:val="28"/>
          <w:lang w:val="en-US" w:eastAsia="zh-CN"/>
        </w:rPr>
        <w:t>采购需求</w:t>
      </w:r>
    </w:p>
    <w:tbl>
      <w:tblPr>
        <w:tblStyle w:val="7"/>
        <w:tblW w:w="9209" w:type="dxa"/>
        <w:tblInd w:w="-233" w:type="dxa"/>
        <w:tblLayout w:type="fixed"/>
        <w:tblCellMar>
          <w:top w:w="0" w:type="dxa"/>
          <w:left w:w="30" w:type="dxa"/>
          <w:bottom w:w="0" w:type="dxa"/>
          <w:right w:w="30" w:type="dxa"/>
        </w:tblCellMar>
      </w:tblPr>
      <w:tblGrid>
        <w:gridCol w:w="854"/>
        <w:gridCol w:w="2023"/>
        <w:gridCol w:w="3047"/>
        <w:gridCol w:w="870"/>
        <w:gridCol w:w="945"/>
        <w:gridCol w:w="1470"/>
      </w:tblGrid>
      <w:tr w14:paraId="5EB21CF4">
        <w:tblPrEx>
          <w:tblCellMar>
            <w:top w:w="0" w:type="dxa"/>
            <w:left w:w="30" w:type="dxa"/>
            <w:bottom w:w="0" w:type="dxa"/>
            <w:right w:w="30" w:type="dxa"/>
          </w:tblCellMar>
        </w:tblPrEx>
        <w:trPr>
          <w:trHeight w:val="658"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14:paraId="34D252B7">
            <w:pPr>
              <w:autoSpaceDE w:val="0"/>
              <w:autoSpaceDN w:val="0"/>
              <w:adjustRightIn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023" w:type="dxa"/>
            <w:tcBorders>
              <w:top w:val="single" w:color="auto" w:sz="6" w:space="0"/>
              <w:left w:val="single" w:color="auto" w:sz="6" w:space="0"/>
              <w:bottom w:val="single" w:color="auto" w:sz="6" w:space="0"/>
              <w:right w:val="single" w:color="auto" w:sz="6" w:space="0"/>
            </w:tcBorders>
            <w:noWrap w:val="0"/>
            <w:vAlign w:val="center"/>
          </w:tcPr>
          <w:p w14:paraId="43C954FA">
            <w:pPr>
              <w:autoSpaceDE w:val="0"/>
              <w:autoSpaceDN w:val="0"/>
              <w:adjustRightIn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3047" w:type="dxa"/>
            <w:tcBorders>
              <w:top w:val="single" w:color="auto" w:sz="6" w:space="0"/>
              <w:left w:val="single" w:color="auto" w:sz="6" w:space="0"/>
              <w:bottom w:val="single" w:color="auto" w:sz="6" w:space="0"/>
              <w:right w:val="single" w:color="auto" w:sz="6" w:space="0"/>
            </w:tcBorders>
            <w:noWrap w:val="0"/>
            <w:vAlign w:val="center"/>
          </w:tcPr>
          <w:p w14:paraId="3292C7F0">
            <w:pPr>
              <w:autoSpaceDE w:val="0"/>
              <w:autoSpaceDN w:val="0"/>
              <w:adjustRightIn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870" w:type="dxa"/>
            <w:tcBorders>
              <w:top w:val="single" w:color="auto" w:sz="6" w:space="0"/>
              <w:left w:val="single" w:color="auto" w:sz="6" w:space="0"/>
              <w:bottom w:val="single" w:color="auto" w:sz="6" w:space="0"/>
              <w:right w:val="single" w:color="auto" w:sz="6" w:space="0"/>
            </w:tcBorders>
            <w:noWrap w:val="0"/>
            <w:vAlign w:val="center"/>
          </w:tcPr>
          <w:p w14:paraId="4FF52507">
            <w:pPr>
              <w:autoSpaceDE w:val="0"/>
              <w:autoSpaceDN w:val="0"/>
              <w:adjustRightIn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1EE15B6C">
            <w:pPr>
              <w:autoSpaceDE w:val="0"/>
              <w:autoSpaceDN w:val="0"/>
              <w:adjustRightIn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F8B7C81">
            <w:pPr>
              <w:autoSpaceDE w:val="0"/>
              <w:autoSpaceDN w:val="0"/>
              <w:adjustRightInd w:val="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控制单价</w:t>
            </w:r>
          </w:p>
        </w:tc>
      </w:tr>
      <w:tr w14:paraId="53CFE151">
        <w:tblPrEx>
          <w:tblCellMar>
            <w:top w:w="0" w:type="dxa"/>
            <w:left w:w="30" w:type="dxa"/>
            <w:bottom w:w="0" w:type="dxa"/>
            <w:right w:w="30" w:type="dxa"/>
          </w:tblCellMar>
        </w:tblPrEx>
        <w:trPr>
          <w:trHeight w:val="1618"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14:paraId="10D0B968">
            <w:pPr>
              <w:autoSpaceDE w:val="0"/>
              <w:autoSpaceDN w:val="0"/>
              <w:adjustRightIn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23" w:type="dxa"/>
            <w:tcBorders>
              <w:top w:val="single" w:color="auto" w:sz="6" w:space="0"/>
              <w:left w:val="single" w:color="auto" w:sz="6" w:space="0"/>
              <w:bottom w:val="single" w:color="auto" w:sz="6" w:space="0"/>
              <w:right w:val="single" w:color="auto" w:sz="6" w:space="0"/>
            </w:tcBorders>
            <w:noWrap w:val="0"/>
            <w:vAlign w:val="center"/>
          </w:tcPr>
          <w:p w14:paraId="5CDF3749">
            <w:pPr>
              <w:autoSpaceDE w:val="0"/>
              <w:autoSpaceDN w:val="0"/>
              <w:adjustRightInd w:val="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军训服组合套装</w:t>
            </w:r>
            <w:r>
              <w:rPr>
                <w:rFonts w:hint="eastAsia" w:ascii="宋体" w:hAnsi="宋体" w:eastAsia="宋体" w:cs="宋体"/>
                <w:color w:val="000000"/>
                <w:kern w:val="0"/>
                <w:sz w:val="24"/>
                <w:szCs w:val="24"/>
              </w:rPr>
              <w:t>（含</w:t>
            </w:r>
            <w:r>
              <w:rPr>
                <w:rFonts w:hint="eastAsia" w:ascii="宋体" w:hAnsi="宋体" w:cs="宋体"/>
                <w:color w:val="000000"/>
                <w:kern w:val="0"/>
                <w:sz w:val="24"/>
                <w:szCs w:val="24"/>
                <w:lang w:eastAsia="zh-CN"/>
              </w:rPr>
              <w:t>迷彩短袖</w:t>
            </w:r>
            <w:r>
              <w:rPr>
                <w:rFonts w:hint="eastAsia" w:ascii="宋体" w:hAnsi="宋体" w:cs="宋体"/>
                <w:color w:val="000000"/>
                <w:kern w:val="0"/>
                <w:sz w:val="24"/>
                <w:szCs w:val="24"/>
                <w:lang w:val="en-US" w:eastAsia="zh-CN"/>
              </w:rPr>
              <w:t>2件+迷彩裤1条</w:t>
            </w:r>
            <w:r>
              <w:rPr>
                <w:rFonts w:hint="eastAsia" w:ascii="宋体" w:hAnsi="宋体" w:eastAsia="宋体" w:cs="宋体"/>
                <w:color w:val="000000"/>
                <w:kern w:val="0"/>
                <w:sz w:val="24"/>
                <w:szCs w:val="24"/>
              </w:rPr>
              <w:t>）</w:t>
            </w:r>
          </w:p>
        </w:tc>
        <w:tc>
          <w:tcPr>
            <w:tcW w:w="3047" w:type="dxa"/>
            <w:tcBorders>
              <w:top w:val="single" w:color="auto" w:sz="6" w:space="0"/>
              <w:left w:val="single" w:color="auto" w:sz="6" w:space="0"/>
              <w:bottom w:val="single" w:color="auto" w:sz="6" w:space="0"/>
              <w:right w:val="single" w:color="auto" w:sz="6" w:space="0"/>
            </w:tcBorders>
            <w:noWrap w:val="0"/>
            <w:vAlign w:val="center"/>
          </w:tcPr>
          <w:p w14:paraId="0EF12259">
            <w:pPr>
              <w:autoSpaceDE w:val="0"/>
              <w:autoSpaceDN w:val="0"/>
              <w:adjustRightIn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160CM、165CM、170CM、175CM、180CM、185CM、190CM等规格，具体根据学校要求定制</w:t>
            </w:r>
          </w:p>
        </w:tc>
        <w:tc>
          <w:tcPr>
            <w:tcW w:w="870" w:type="dxa"/>
            <w:tcBorders>
              <w:top w:val="single" w:color="auto" w:sz="6" w:space="0"/>
              <w:left w:val="single" w:color="auto" w:sz="6" w:space="0"/>
              <w:bottom w:val="single" w:color="auto" w:sz="6" w:space="0"/>
              <w:right w:val="single" w:color="auto" w:sz="6" w:space="0"/>
            </w:tcBorders>
            <w:noWrap w:val="0"/>
            <w:vAlign w:val="center"/>
          </w:tcPr>
          <w:p w14:paraId="376161E8">
            <w:pPr>
              <w:autoSpaceDE w:val="0"/>
              <w:autoSpaceDN w:val="0"/>
              <w:adjustRightIn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1E17413F">
            <w:pPr>
              <w:autoSpaceDE w:val="0"/>
              <w:autoSpaceDN w:val="0"/>
              <w:adjustRightInd w:val="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650</w:t>
            </w:r>
          </w:p>
        </w:tc>
        <w:tc>
          <w:tcPr>
            <w:tcW w:w="1470" w:type="dxa"/>
            <w:vMerge w:val="restart"/>
            <w:tcBorders>
              <w:top w:val="single" w:color="auto" w:sz="6" w:space="0"/>
              <w:left w:val="single" w:color="auto" w:sz="6" w:space="0"/>
              <w:right w:val="single" w:color="auto" w:sz="6" w:space="0"/>
            </w:tcBorders>
            <w:noWrap w:val="0"/>
            <w:vAlign w:val="center"/>
          </w:tcPr>
          <w:p w14:paraId="1ACE2774">
            <w:pPr>
              <w:autoSpaceDE w:val="0"/>
              <w:autoSpaceDN w:val="0"/>
              <w:adjustRightInd w:val="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70</w:t>
            </w:r>
            <w:r>
              <w:rPr>
                <w:rFonts w:hint="eastAsia" w:ascii="宋体" w:hAnsi="宋体" w:eastAsia="宋体" w:cs="宋体"/>
                <w:color w:val="000000"/>
                <w:kern w:val="0"/>
                <w:sz w:val="24"/>
                <w:szCs w:val="24"/>
                <w:lang w:val="en-US" w:eastAsia="zh-CN"/>
              </w:rPr>
              <w:t>元/</w:t>
            </w:r>
            <w:r>
              <w:rPr>
                <w:rFonts w:hint="eastAsia" w:ascii="宋体" w:hAnsi="宋体" w:cs="宋体"/>
                <w:color w:val="000000"/>
                <w:kern w:val="0"/>
                <w:sz w:val="24"/>
                <w:szCs w:val="24"/>
                <w:lang w:val="en-US" w:eastAsia="zh-CN"/>
              </w:rPr>
              <w:t>组合</w:t>
            </w:r>
            <w:r>
              <w:rPr>
                <w:rFonts w:hint="eastAsia" w:ascii="宋体" w:hAnsi="宋体" w:eastAsia="宋体" w:cs="宋体"/>
                <w:color w:val="000000"/>
                <w:kern w:val="0"/>
                <w:sz w:val="24"/>
                <w:szCs w:val="24"/>
                <w:lang w:val="en-US" w:eastAsia="zh-CN"/>
              </w:rPr>
              <w:t>套</w:t>
            </w:r>
          </w:p>
        </w:tc>
      </w:tr>
      <w:tr w14:paraId="797160F9">
        <w:tblPrEx>
          <w:tblCellMar>
            <w:top w:w="0" w:type="dxa"/>
            <w:left w:w="30" w:type="dxa"/>
            <w:bottom w:w="0" w:type="dxa"/>
            <w:right w:w="30" w:type="dxa"/>
          </w:tblCellMar>
        </w:tblPrEx>
        <w:trPr>
          <w:trHeight w:val="615"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14:paraId="18B5F745">
            <w:pPr>
              <w:autoSpaceDE w:val="0"/>
              <w:autoSpaceDN w:val="0"/>
              <w:adjustRightInd w:val="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2023" w:type="dxa"/>
            <w:tcBorders>
              <w:top w:val="single" w:color="auto" w:sz="6" w:space="0"/>
              <w:left w:val="single" w:color="auto" w:sz="6" w:space="0"/>
              <w:bottom w:val="single" w:color="auto" w:sz="6" w:space="0"/>
              <w:right w:val="single" w:color="auto" w:sz="6" w:space="0"/>
            </w:tcBorders>
            <w:noWrap w:val="0"/>
            <w:vAlign w:val="center"/>
          </w:tcPr>
          <w:p w14:paraId="03CEBC30">
            <w:pPr>
              <w:autoSpaceDE w:val="0"/>
              <w:autoSpaceDN w:val="0"/>
              <w:adjustRightIn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工作帽</w:t>
            </w:r>
          </w:p>
        </w:tc>
        <w:tc>
          <w:tcPr>
            <w:tcW w:w="3047" w:type="dxa"/>
            <w:tcBorders>
              <w:top w:val="single" w:color="auto" w:sz="6" w:space="0"/>
              <w:left w:val="single" w:color="auto" w:sz="6" w:space="0"/>
              <w:bottom w:val="single" w:color="auto" w:sz="6" w:space="0"/>
              <w:right w:val="single" w:color="auto" w:sz="6" w:space="0"/>
            </w:tcBorders>
            <w:noWrap w:val="0"/>
            <w:vAlign w:val="center"/>
          </w:tcPr>
          <w:p w14:paraId="5EFA623C">
            <w:pPr>
              <w:autoSpaceDE w:val="0"/>
              <w:autoSpaceDN w:val="0"/>
              <w:adjustRightIn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均码</w:t>
            </w:r>
          </w:p>
        </w:tc>
        <w:tc>
          <w:tcPr>
            <w:tcW w:w="870" w:type="dxa"/>
            <w:tcBorders>
              <w:top w:val="single" w:color="auto" w:sz="6" w:space="0"/>
              <w:left w:val="single" w:color="auto" w:sz="6" w:space="0"/>
              <w:bottom w:val="single" w:color="auto" w:sz="6" w:space="0"/>
              <w:right w:val="single" w:color="auto" w:sz="6" w:space="0"/>
            </w:tcBorders>
            <w:noWrap w:val="0"/>
            <w:vAlign w:val="center"/>
          </w:tcPr>
          <w:p w14:paraId="0D79E761">
            <w:pPr>
              <w:autoSpaceDE w:val="0"/>
              <w:autoSpaceDN w:val="0"/>
              <w:adjustRightIn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顶</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0F088796">
            <w:pPr>
              <w:autoSpaceDE w:val="0"/>
              <w:autoSpaceDN w:val="0"/>
              <w:adjustRightInd w:val="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650</w:t>
            </w:r>
          </w:p>
        </w:tc>
        <w:tc>
          <w:tcPr>
            <w:tcW w:w="1470" w:type="dxa"/>
            <w:vMerge w:val="continue"/>
            <w:tcBorders>
              <w:left w:val="single" w:color="auto" w:sz="6" w:space="0"/>
              <w:right w:val="single" w:color="auto" w:sz="6" w:space="0"/>
            </w:tcBorders>
            <w:noWrap w:val="0"/>
            <w:vAlign w:val="center"/>
          </w:tcPr>
          <w:p w14:paraId="3F250E78">
            <w:pPr>
              <w:autoSpaceDE w:val="0"/>
              <w:autoSpaceDN w:val="0"/>
              <w:adjustRightInd w:val="0"/>
              <w:jc w:val="center"/>
              <w:rPr>
                <w:rFonts w:hint="eastAsia" w:ascii="宋体" w:hAnsi="宋体" w:eastAsia="宋体" w:cs="宋体"/>
                <w:color w:val="000000"/>
                <w:kern w:val="0"/>
                <w:sz w:val="24"/>
                <w:szCs w:val="24"/>
                <w:lang w:val="en-US" w:eastAsia="zh-CN"/>
              </w:rPr>
            </w:pPr>
          </w:p>
        </w:tc>
      </w:tr>
      <w:tr w14:paraId="7ADCBD89">
        <w:tblPrEx>
          <w:tblCellMar>
            <w:top w:w="0" w:type="dxa"/>
            <w:left w:w="30" w:type="dxa"/>
            <w:bottom w:w="0" w:type="dxa"/>
            <w:right w:w="30" w:type="dxa"/>
          </w:tblCellMar>
        </w:tblPrEx>
        <w:trPr>
          <w:trHeight w:val="720" w:hRule="atLeast"/>
        </w:trPr>
        <w:tc>
          <w:tcPr>
            <w:tcW w:w="854" w:type="dxa"/>
            <w:tcBorders>
              <w:top w:val="single" w:color="auto" w:sz="6" w:space="0"/>
              <w:left w:val="single" w:color="auto" w:sz="6" w:space="0"/>
              <w:bottom w:val="single" w:color="auto" w:sz="6" w:space="0"/>
              <w:right w:val="single" w:color="auto" w:sz="6" w:space="0"/>
            </w:tcBorders>
            <w:noWrap w:val="0"/>
            <w:vAlign w:val="center"/>
          </w:tcPr>
          <w:p w14:paraId="3F4962CA">
            <w:pPr>
              <w:autoSpaceDE w:val="0"/>
              <w:autoSpaceDN w:val="0"/>
              <w:adjustRightInd w:val="0"/>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023" w:type="dxa"/>
            <w:tcBorders>
              <w:top w:val="single" w:color="auto" w:sz="6" w:space="0"/>
              <w:left w:val="single" w:color="auto" w:sz="6" w:space="0"/>
              <w:bottom w:val="single" w:color="auto" w:sz="6" w:space="0"/>
              <w:right w:val="single" w:color="auto" w:sz="6" w:space="0"/>
            </w:tcBorders>
            <w:noWrap w:val="0"/>
            <w:vAlign w:val="center"/>
          </w:tcPr>
          <w:p w14:paraId="64C47D42">
            <w:pPr>
              <w:autoSpaceDE w:val="0"/>
              <w:autoSpaceDN w:val="0"/>
              <w:adjustRightInd w:val="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皮带</w:t>
            </w:r>
          </w:p>
        </w:tc>
        <w:tc>
          <w:tcPr>
            <w:tcW w:w="3047" w:type="dxa"/>
            <w:tcBorders>
              <w:top w:val="single" w:color="auto" w:sz="6" w:space="0"/>
              <w:left w:val="single" w:color="auto" w:sz="6" w:space="0"/>
              <w:bottom w:val="single" w:color="auto" w:sz="6" w:space="0"/>
              <w:right w:val="single" w:color="auto" w:sz="6" w:space="0"/>
            </w:tcBorders>
            <w:noWrap w:val="0"/>
            <w:vAlign w:val="center"/>
          </w:tcPr>
          <w:p w14:paraId="454B94D8">
            <w:pPr>
              <w:autoSpaceDE w:val="0"/>
              <w:autoSpaceDN w:val="0"/>
              <w:adjustRightInd w:val="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均码</w:t>
            </w:r>
          </w:p>
        </w:tc>
        <w:tc>
          <w:tcPr>
            <w:tcW w:w="870" w:type="dxa"/>
            <w:tcBorders>
              <w:top w:val="single" w:color="auto" w:sz="6" w:space="0"/>
              <w:left w:val="single" w:color="auto" w:sz="6" w:space="0"/>
              <w:bottom w:val="single" w:color="auto" w:sz="6" w:space="0"/>
              <w:right w:val="single" w:color="auto" w:sz="6" w:space="0"/>
            </w:tcBorders>
            <w:noWrap w:val="0"/>
            <w:vAlign w:val="center"/>
          </w:tcPr>
          <w:p w14:paraId="75FEEA7D">
            <w:pPr>
              <w:autoSpaceDE w:val="0"/>
              <w:autoSpaceDN w:val="0"/>
              <w:adjustRightInd w:val="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根</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652D9437">
            <w:pPr>
              <w:autoSpaceDE w:val="0"/>
              <w:autoSpaceDN w:val="0"/>
              <w:adjustRightInd w:val="0"/>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650</w:t>
            </w:r>
          </w:p>
        </w:tc>
        <w:tc>
          <w:tcPr>
            <w:tcW w:w="1470" w:type="dxa"/>
            <w:vMerge w:val="continue"/>
            <w:tcBorders>
              <w:left w:val="single" w:color="auto" w:sz="6" w:space="0"/>
              <w:bottom w:val="single" w:color="auto" w:sz="6" w:space="0"/>
              <w:right w:val="single" w:color="auto" w:sz="6" w:space="0"/>
            </w:tcBorders>
            <w:noWrap w:val="0"/>
            <w:vAlign w:val="center"/>
          </w:tcPr>
          <w:p w14:paraId="392CC0EC">
            <w:pPr>
              <w:autoSpaceDE w:val="0"/>
              <w:autoSpaceDN w:val="0"/>
              <w:adjustRightInd w:val="0"/>
              <w:jc w:val="center"/>
              <w:rPr>
                <w:rFonts w:hint="eastAsia" w:ascii="宋体" w:hAnsi="宋体" w:eastAsia="宋体" w:cs="宋体"/>
                <w:color w:val="000000"/>
                <w:kern w:val="0"/>
                <w:sz w:val="24"/>
                <w:szCs w:val="24"/>
                <w:lang w:val="en-US" w:eastAsia="zh-CN"/>
              </w:rPr>
            </w:pPr>
          </w:p>
        </w:tc>
      </w:tr>
    </w:tbl>
    <w:p w14:paraId="55C4382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cs="宋体"/>
          <w:b/>
          <w:bCs/>
          <w:spacing w:val="-1"/>
          <w:kern w:val="2"/>
          <w:sz w:val="24"/>
          <w:szCs w:val="24"/>
          <w:lang w:val="en-US" w:eastAsia="zh-CN" w:bidi="ar-SA"/>
        </w:rPr>
      </w:pPr>
      <w:r>
        <w:rPr>
          <w:rFonts w:hint="eastAsia"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学校以实际收货数量作为结算依据。</w:t>
      </w:r>
    </w:p>
    <w:p w14:paraId="5C9070C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pacing w:val="-1"/>
          <w:kern w:val="2"/>
          <w:sz w:val="24"/>
          <w:szCs w:val="24"/>
          <w:lang w:val="en-US" w:eastAsia="zh-CN" w:bidi="ar-SA"/>
        </w:rPr>
      </w:pPr>
      <w:r>
        <w:rPr>
          <w:rFonts w:hint="eastAsia" w:cs="宋体"/>
          <w:b/>
          <w:bCs/>
          <w:spacing w:val="-1"/>
          <w:kern w:val="2"/>
          <w:sz w:val="24"/>
          <w:szCs w:val="24"/>
          <w:lang w:val="en-US" w:eastAsia="zh-CN" w:bidi="ar-SA"/>
        </w:rPr>
        <w:t>1、</w:t>
      </w:r>
      <w:r>
        <w:rPr>
          <w:rFonts w:hint="eastAsia" w:ascii="宋体" w:hAnsi="宋体" w:eastAsia="宋体" w:cs="宋体"/>
          <w:b/>
          <w:bCs/>
          <w:spacing w:val="-1"/>
          <w:kern w:val="2"/>
          <w:sz w:val="24"/>
          <w:szCs w:val="24"/>
          <w:lang w:val="en-US" w:eastAsia="zh-CN" w:bidi="ar-SA"/>
        </w:rPr>
        <w:t>质量要求</w:t>
      </w:r>
      <w:r>
        <w:rPr>
          <w:rFonts w:hint="eastAsia" w:cs="宋体"/>
          <w:b/>
          <w:bCs/>
          <w:spacing w:val="-1"/>
          <w:kern w:val="2"/>
          <w:sz w:val="24"/>
          <w:szCs w:val="24"/>
          <w:lang w:val="en-US" w:eastAsia="zh-CN" w:bidi="ar-SA"/>
        </w:rPr>
        <w:t>：</w:t>
      </w:r>
    </w:p>
    <w:p w14:paraId="457CFFE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spacing w:val="-1"/>
          <w:kern w:val="2"/>
          <w:sz w:val="24"/>
          <w:szCs w:val="24"/>
          <w:lang w:val="en-US" w:eastAsia="zh-CN" w:bidi="ar-SA"/>
        </w:rPr>
        <w:t>必须符合省教育厅、省质检局发［2003］166号文件及湘纤综发［2003］02号文件规定的质量标准，供应商所提供的产品性能及质量标准应符合现行国家标准，符合国家质量技术监督局颁布的《消费品使用说明、纺织品和服装使用说明》GB5296.4-1998，国家质量监督检验检疫总局颁布的《国家纺织产品基本安全技术规范》GB18401-2010(B、C类)和GB/T 23328-2009(</w:t>
      </w:r>
      <w:r>
        <w:rPr>
          <w:rFonts w:hint="eastAsia" w:cs="宋体"/>
          <w:spacing w:val="-1"/>
          <w:kern w:val="2"/>
          <w:sz w:val="24"/>
          <w:szCs w:val="24"/>
          <w:lang w:val="en-US" w:eastAsia="zh-CN" w:bidi="ar-SA"/>
        </w:rPr>
        <w:t>机织学生服</w:t>
      </w:r>
      <w:r>
        <w:rPr>
          <w:rFonts w:hint="eastAsia" w:ascii="宋体" w:hAnsi="宋体" w:eastAsia="宋体" w:cs="宋体"/>
          <w:spacing w:val="-1"/>
          <w:kern w:val="2"/>
          <w:sz w:val="24"/>
          <w:szCs w:val="24"/>
          <w:lang w:val="en-US" w:eastAsia="zh-CN" w:bidi="ar-SA"/>
        </w:rPr>
        <w:t>)</w:t>
      </w:r>
      <w:r>
        <w:rPr>
          <w:rFonts w:hint="eastAsia" w:cs="宋体"/>
          <w:spacing w:val="-1"/>
          <w:kern w:val="2"/>
          <w:sz w:val="24"/>
          <w:szCs w:val="24"/>
          <w:lang w:val="en-US" w:eastAsia="zh-CN" w:bidi="ar-SA"/>
        </w:rPr>
        <w:t>FZ/T01057.2</w:t>
      </w:r>
      <w:r>
        <w:rPr>
          <w:rFonts w:hint="eastAsia" w:ascii="微软雅黑" w:hAnsi="微软雅黑" w:eastAsia="微软雅黑" w:cs="微软雅黑"/>
          <w:spacing w:val="-1"/>
          <w:kern w:val="2"/>
          <w:sz w:val="24"/>
          <w:szCs w:val="24"/>
          <w:lang w:val="en-US" w:eastAsia="zh-CN" w:bidi="ar-SA"/>
        </w:rPr>
        <w:t>~</w:t>
      </w:r>
      <w:r>
        <w:rPr>
          <w:rFonts w:hint="eastAsia" w:cs="宋体"/>
          <w:spacing w:val="-1"/>
          <w:kern w:val="2"/>
          <w:sz w:val="24"/>
          <w:szCs w:val="24"/>
          <w:lang w:val="en-US" w:eastAsia="zh-CN" w:bidi="ar-SA"/>
        </w:rPr>
        <w:t>4-2007、GB/T2910、11-2009、GB/T4668-1995、GB/T29256.5-2012</w:t>
      </w:r>
      <w:r>
        <w:rPr>
          <w:rFonts w:hint="eastAsia" w:ascii="宋体" w:hAnsi="宋体" w:eastAsia="宋体" w:cs="宋体"/>
          <w:spacing w:val="-1"/>
          <w:kern w:val="2"/>
          <w:sz w:val="24"/>
          <w:szCs w:val="24"/>
          <w:lang w:val="en-US" w:eastAsia="zh-CN" w:bidi="ar-SA"/>
        </w:rPr>
        <w:t>提供用实训服装。</w:t>
      </w:r>
    </w:p>
    <w:p w14:paraId="3ABBB17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pacing w:val="-1"/>
          <w:kern w:val="2"/>
          <w:sz w:val="24"/>
          <w:szCs w:val="24"/>
          <w:lang w:val="en-US" w:eastAsia="zh-CN" w:bidi="ar-SA"/>
        </w:rPr>
      </w:pPr>
    </w:p>
    <w:p w14:paraId="140E473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24"/>
          <w:szCs w:val="24"/>
        </w:rPr>
      </w:pPr>
      <w:r>
        <w:rPr>
          <w:rFonts w:hint="eastAsia" w:ascii="宋体" w:hAnsi="宋体" w:eastAsia="宋体" w:cs="宋体"/>
          <w:b/>
          <w:bCs/>
          <w:spacing w:val="-1"/>
          <w:kern w:val="2"/>
          <w:sz w:val="24"/>
          <w:szCs w:val="24"/>
          <w:lang w:val="en-US" w:eastAsia="zh-CN" w:bidi="ar-SA"/>
        </w:rPr>
        <w:t>2、实训服质量基本要求：</w:t>
      </w:r>
    </w:p>
    <w:p w14:paraId="0C61ABA1">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军训服组合套装</w:t>
      </w:r>
      <w:r>
        <w:rPr>
          <w:rFonts w:hint="eastAsia" w:ascii="宋体" w:hAnsi="宋体" w:eastAsia="宋体" w:cs="宋体"/>
          <w:color w:val="000000"/>
          <w:kern w:val="0"/>
          <w:sz w:val="24"/>
          <w:szCs w:val="24"/>
        </w:rPr>
        <w:t>（含</w:t>
      </w:r>
      <w:r>
        <w:rPr>
          <w:rFonts w:hint="eastAsia" w:ascii="宋体" w:hAnsi="宋体" w:cs="宋体"/>
          <w:color w:val="000000"/>
          <w:kern w:val="0"/>
          <w:sz w:val="24"/>
          <w:szCs w:val="24"/>
          <w:lang w:eastAsia="zh-CN"/>
        </w:rPr>
        <w:t>迷彩短袖</w:t>
      </w:r>
      <w:r>
        <w:rPr>
          <w:rFonts w:hint="eastAsia" w:ascii="宋体" w:hAnsi="宋体" w:cs="宋体"/>
          <w:color w:val="000000"/>
          <w:kern w:val="0"/>
          <w:sz w:val="24"/>
          <w:szCs w:val="24"/>
          <w:lang w:val="en-US" w:eastAsia="zh-CN"/>
        </w:rPr>
        <w:t>2件+迷彩裤1条</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统一采用</w:t>
      </w:r>
      <w:r>
        <w:rPr>
          <w:rFonts w:hint="eastAsia" w:cs="宋体"/>
          <w:color w:val="000000"/>
          <w:sz w:val="24"/>
          <w:szCs w:val="24"/>
          <w:lang w:eastAsia="zh-CN"/>
        </w:rPr>
        <w:t>聚酯纤维</w:t>
      </w:r>
      <w:r>
        <w:rPr>
          <w:rFonts w:hint="eastAsia" w:cs="宋体"/>
          <w:color w:val="000000"/>
          <w:sz w:val="24"/>
          <w:szCs w:val="24"/>
          <w:lang w:val="en-US" w:eastAsia="zh-CN"/>
        </w:rPr>
        <w:t>100%</w:t>
      </w:r>
      <w:r>
        <w:rPr>
          <w:rFonts w:hint="eastAsia" w:ascii="宋体" w:hAnsi="宋体" w:eastAsia="宋体" w:cs="宋体"/>
          <w:color w:val="000000"/>
          <w:sz w:val="24"/>
          <w:szCs w:val="24"/>
        </w:rPr>
        <w:t>面料制作。</w:t>
      </w:r>
    </w:p>
    <w:p w14:paraId="3851AB5E">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尺寸、缩水率、褪色、染色牢度(耐洗、耐水、耐酸碱汗渍，耐摩擦)指标达到国家标准合格品的要求。</w:t>
      </w:r>
    </w:p>
    <w:p w14:paraId="78031DCA">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缝制工艺均匀、无漏针，确保产品的强度与美观。</w:t>
      </w:r>
    </w:p>
    <w:p w14:paraId="69B45C4D">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服装应透气、吸汗，裤子应宽松、耐磨。</w:t>
      </w:r>
    </w:p>
    <w:p w14:paraId="4682DDCF">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配件质量要合格。</w:t>
      </w:r>
    </w:p>
    <w:p w14:paraId="52A6DA98">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eastAsia" w:cs="宋体"/>
          <w:b/>
          <w:bCs/>
          <w:spacing w:val="-1"/>
          <w:kern w:val="2"/>
          <w:sz w:val="24"/>
          <w:szCs w:val="24"/>
          <w:lang w:val="en-US" w:eastAsia="zh-CN" w:bidi="ar-SA"/>
        </w:rPr>
      </w:pPr>
      <w:r>
        <w:rPr>
          <w:rFonts w:hint="eastAsia" w:asciiTheme="minorEastAsia" w:hAnsiTheme="minorEastAsia" w:eastAsiaTheme="minorEastAsia" w:cstheme="minorEastAsia"/>
          <w:color w:val="000000"/>
          <w:sz w:val="24"/>
          <w:szCs w:val="24"/>
        </w:rPr>
        <w:t>售后时，服装无人为损坏，须包退包换。</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675"/>
        <w:gridCol w:w="765"/>
        <w:gridCol w:w="2145"/>
        <w:gridCol w:w="2670"/>
        <w:gridCol w:w="1815"/>
        <w:gridCol w:w="870"/>
      </w:tblGrid>
      <w:tr w14:paraId="6C47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5" w:type="dxa"/>
            <w:gridSpan w:val="2"/>
            <w:vAlign w:val="center"/>
          </w:tcPr>
          <w:p w14:paraId="373D9D9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检测项目</w:t>
            </w:r>
          </w:p>
        </w:tc>
        <w:tc>
          <w:tcPr>
            <w:tcW w:w="765" w:type="dxa"/>
            <w:vAlign w:val="center"/>
          </w:tcPr>
          <w:p w14:paraId="75D2E9A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计量单位</w:t>
            </w:r>
          </w:p>
        </w:tc>
        <w:tc>
          <w:tcPr>
            <w:tcW w:w="2145" w:type="dxa"/>
            <w:vAlign w:val="center"/>
          </w:tcPr>
          <w:p w14:paraId="6472B60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检验方法</w:t>
            </w:r>
          </w:p>
        </w:tc>
        <w:tc>
          <w:tcPr>
            <w:tcW w:w="2670" w:type="dxa"/>
            <w:vAlign w:val="center"/>
          </w:tcPr>
          <w:p w14:paraId="6089347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客户提供技术文件要求</w:t>
            </w:r>
          </w:p>
        </w:tc>
        <w:tc>
          <w:tcPr>
            <w:tcW w:w="1815" w:type="dxa"/>
            <w:vAlign w:val="center"/>
          </w:tcPr>
          <w:p w14:paraId="3611B7E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检验结果</w:t>
            </w:r>
          </w:p>
        </w:tc>
        <w:tc>
          <w:tcPr>
            <w:tcW w:w="870" w:type="dxa"/>
            <w:vAlign w:val="center"/>
          </w:tcPr>
          <w:p w14:paraId="7B9B05E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单项评定</w:t>
            </w:r>
          </w:p>
        </w:tc>
      </w:tr>
      <w:tr w14:paraId="484E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Align w:val="center"/>
          </w:tcPr>
          <w:p w14:paraId="6DECC1B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纤维含量</w:t>
            </w:r>
          </w:p>
        </w:tc>
        <w:tc>
          <w:tcPr>
            <w:tcW w:w="765" w:type="dxa"/>
            <w:vAlign w:val="center"/>
          </w:tcPr>
          <w:p w14:paraId="28BF3E4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w:t>
            </w:r>
          </w:p>
        </w:tc>
        <w:tc>
          <w:tcPr>
            <w:tcW w:w="2145" w:type="dxa"/>
            <w:vAlign w:val="center"/>
          </w:tcPr>
          <w:p w14:paraId="522CB754">
            <w:pPr>
              <w:pStyle w:val="6"/>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FZ/T</w:t>
            </w:r>
          </w:p>
          <w:p w14:paraId="13DCCEBC">
            <w:pPr>
              <w:pStyle w:val="6"/>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pacing w:val="-1"/>
                <w:kern w:val="2"/>
                <w:sz w:val="24"/>
                <w:szCs w:val="24"/>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01057.2</w:t>
            </w:r>
            <w:r>
              <w:rPr>
                <w:rFonts w:hint="eastAsia" w:asciiTheme="minorEastAsia" w:hAnsiTheme="minorEastAsia" w:eastAsiaTheme="minorEastAsia" w:cstheme="minorEastAsia"/>
                <w:b w:val="0"/>
                <w:bCs w:val="0"/>
                <w:spacing w:val="-1"/>
                <w:kern w:val="2"/>
                <w:sz w:val="24"/>
                <w:szCs w:val="24"/>
                <w:lang w:val="en-US" w:eastAsia="zh-CN" w:bidi="ar-SA"/>
              </w:rPr>
              <w:t>~4-2007</w:t>
            </w:r>
          </w:p>
          <w:p w14:paraId="50ACC7C7">
            <w:pPr>
              <w:pStyle w:val="6"/>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pacing w:val="-1"/>
                <w:kern w:val="2"/>
                <w:sz w:val="24"/>
                <w:szCs w:val="24"/>
                <w:lang w:val="en-US" w:eastAsia="zh-CN" w:bidi="ar-SA"/>
              </w:rPr>
            </w:pPr>
            <w:r>
              <w:rPr>
                <w:rFonts w:hint="eastAsia" w:asciiTheme="minorEastAsia" w:hAnsiTheme="minorEastAsia" w:eastAsiaTheme="minorEastAsia" w:cstheme="minorEastAsia"/>
                <w:b w:val="0"/>
                <w:bCs w:val="0"/>
                <w:spacing w:val="-1"/>
                <w:kern w:val="2"/>
                <w:sz w:val="24"/>
                <w:szCs w:val="24"/>
                <w:lang w:val="en-US" w:eastAsia="zh-CN" w:bidi="ar-SA"/>
              </w:rPr>
              <w:t>GB/T2910.11-2009</w:t>
            </w:r>
          </w:p>
        </w:tc>
        <w:tc>
          <w:tcPr>
            <w:tcW w:w="2670" w:type="dxa"/>
            <w:vAlign w:val="center"/>
          </w:tcPr>
          <w:p w14:paraId="7E5606D8">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涤100</w:t>
            </w:r>
            <w:r>
              <w:rPr>
                <w:rFonts w:hint="eastAsia" w:ascii="微软雅黑" w:hAnsi="微软雅黑" w:eastAsia="微软雅黑" w:cs="微软雅黑"/>
                <w:b w:val="0"/>
                <w:bCs w:val="0"/>
                <w:spacing w:val="-1"/>
                <w:kern w:val="2"/>
                <w:sz w:val="24"/>
                <w:szCs w:val="24"/>
                <w:vertAlign w:val="baseline"/>
                <w:lang w:val="en-US" w:eastAsia="zh-CN" w:bidi="ar-SA"/>
              </w:rPr>
              <w:t>±</w:t>
            </w:r>
          </w:p>
        </w:tc>
        <w:tc>
          <w:tcPr>
            <w:tcW w:w="1815" w:type="dxa"/>
            <w:vAlign w:val="center"/>
          </w:tcPr>
          <w:p w14:paraId="2895F06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聚酯纤维100%</w:t>
            </w:r>
          </w:p>
        </w:tc>
        <w:tc>
          <w:tcPr>
            <w:tcW w:w="870" w:type="dxa"/>
            <w:vAlign w:val="center"/>
          </w:tcPr>
          <w:p w14:paraId="1A29040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合格</w:t>
            </w:r>
          </w:p>
        </w:tc>
      </w:tr>
      <w:tr w14:paraId="340C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vAlign w:val="center"/>
          </w:tcPr>
          <w:p w14:paraId="78B0F2C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密度</w:t>
            </w:r>
          </w:p>
        </w:tc>
        <w:tc>
          <w:tcPr>
            <w:tcW w:w="675" w:type="dxa"/>
            <w:vAlign w:val="center"/>
          </w:tcPr>
          <w:p w14:paraId="02B8011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经向</w:t>
            </w:r>
          </w:p>
        </w:tc>
        <w:tc>
          <w:tcPr>
            <w:tcW w:w="765" w:type="dxa"/>
            <w:vMerge w:val="restart"/>
            <w:vAlign w:val="center"/>
          </w:tcPr>
          <w:p w14:paraId="4746493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根/10cm</w:t>
            </w:r>
          </w:p>
        </w:tc>
        <w:tc>
          <w:tcPr>
            <w:tcW w:w="2145" w:type="dxa"/>
            <w:vMerge w:val="restart"/>
            <w:vAlign w:val="center"/>
          </w:tcPr>
          <w:p w14:paraId="6A9977C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lang w:val="en-US" w:eastAsia="zh-CN" w:bidi="ar-SA"/>
              </w:rPr>
            </w:pPr>
            <w:r>
              <w:rPr>
                <w:rFonts w:hint="eastAsia" w:asciiTheme="minorEastAsia" w:hAnsiTheme="minorEastAsia" w:eastAsiaTheme="minorEastAsia" w:cstheme="minorEastAsia"/>
                <w:b w:val="0"/>
                <w:bCs w:val="0"/>
                <w:spacing w:val="-1"/>
                <w:kern w:val="2"/>
                <w:sz w:val="24"/>
                <w:szCs w:val="24"/>
                <w:lang w:val="en-US" w:eastAsia="zh-CN" w:bidi="ar-SA"/>
              </w:rPr>
              <w:t>GB/T 4668-1995</w:t>
            </w:r>
          </w:p>
          <w:p w14:paraId="6617731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lang w:val="en-US" w:eastAsia="zh-CN" w:bidi="ar-SA"/>
              </w:rPr>
            </w:pPr>
            <w:r>
              <w:rPr>
                <w:rFonts w:hint="eastAsia" w:asciiTheme="minorEastAsia" w:hAnsiTheme="minorEastAsia" w:eastAsiaTheme="minorEastAsia" w:cstheme="minorEastAsia"/>
                <w:b w:val="0"/>
                <w:bCs w:val="0"/>
                <w:spacing w:val="-1"/>
                <w:kern w:val="2"/>
                <w:sz w:val="24"/>
                <w:szCs w:val="24"/>
                <w:lang w:val="en-US" w:eastAsia="zh-CN" w:bidi="ar-SA"/>
              </w:rPr>
              <w:t>方法A</w:t>
            </w:r>
          </w:p>
        </w:tc>
        <w:tc>
          <w:tcPr>
            <w:tcW w:w="2670" w:type="dxa"/>
            <w:vAlign w:val="center"/>
          </w:tcPr>
          <w:p w14:paraId="20AD401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≧86根/英寸</w:t>
            </w:r>
          </w:p>
        </w:tc>
        <w:tc>
          <w:tcPr>
            <w:tcW w:w="1815" w:type="dxa"/>
            <w:vAlign w:val="center"/>
          </w:tcPr>
          <w:p w14:paraId="658420B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444.8</w:t>
            </w:r>
          </w:p>
          <w:p w14:paraId="4823D30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（113.0根/英寸）</w:t>
            </w:r>
          </w:p>
        </w:tc>
        <w:tc>
          <w:tcPr>
            <w:tcW w:w="870" w:type="dxa"/>
            <w:vMerge w:val="restart"/>
            <w:vAlign w:val="center"/>
          </w:tcPr>
          <w:p w14:paraId="6D3A76E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合格</w:t>
            </w:r>
          </w:p>
        </w:tc>
      </w:tr>
      <w:tr w14:paraId="323C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vAlign w:val="center"/>
          </w:tcPr>
          <w:p w14:paraId="64F03C9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675" w:type="dxa"/>
            <w:vAlign w:val="center"/>
          </w:tcPr>
          <w:p w14:paraId="67E7B1C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纬向</w:t>
            </w:r>
          </w:p>
        </w:tc>
        <w:tc>
          <w:tcPr>
            <w:tcW w:w="765" w:type="dxa"/>
            <w:vMerge w:val="continue"/>
            <w:vAlign w:val="center"/>
          </w:tcPr>
          <w:p w14:paraId="5A97952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2145" w:type="dxa"/>
            <w:vMerge w:val="continue"/>
            <w:vAlign w:val="center"/>
          </w:tcPr>
          <w:p w14:paraId="389BA58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2670" w:type="dxa"/>
            <w:vAlign w:val="center"/>
          </w:tcPr>
          <w:p w14:paraId="3C90AC9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≧62根/英寸</w:t>
            </w:r>
          </w:p>
        </w:tc>
        <w:tc>
          <w:tcPr>
            <w:tcW w:w="1815" w:type="dxa"/>
            <w:vAlign w:val="center"/>
          </w:tcPr>
          <w:p w14:paraId="0EB8AC9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870" w:type="dxa"/>
            <w:vMerge w:val="continue"/>
            <w:vAlign w:val="center"/>
          </w:tcPr>
          <w:p w14:paraId="2CDD87C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r>
      <w:tr w14:paraId="5758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vAlign w:val="center"/>
          </w:tcPr>
          <w:p w14:paraId="5AA2D02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线密度</w:t>
            </w:r>
          </w:p>
        </w:tc>
        <w:tc>
          <w:tcPr>
            <w:tcW w:w="675" w:type="dxa"/>
            <w:vAlign w:val="center"/>
          </w:tcPr>
          <w:p w14:paraId="67DC0F8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经向</w:t>
            </w:r>
          </w:p>
        </w:tc>
        <w:tc>
          <w:tcPr>
            <w:tcW w:w="765" w:type="dxa"/>
            <w:vMerge w:val="restart"/>
            <w:vAlign w:val="center"/>
          </w:tcPr>
          <w:p w14:paraId="1873732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w:t>
            </w:r>
          </w:p>
        </w:tc>
        <w:tc>
          <w:tcPr>
            <w:tcW w:w="2145" w:type="dxa"/>
            <w:vMerge w:val="restart"/>
            <w:vAlign w:val="center"/>
          </w:tcPr>
          <w:p w14:paraId="3292312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lang w:val="en-US" w:eastAsia="zh-CN" w:bidi="ar-SA"/>
              </w:rPr>
            </w:pPr>
            <w:r>
              <w:rPr>
                <w:rFonts w:hint="eastAsia" w:asciiTheme="minorEastAsia" w:hAnsiTheme="minorEastAsia" w:eastAsiaTheme="minorEastAsia" w:cstheme="minorEastAsia"/>
                <w:b w:val="0"/>
                <w:bCs w:val="0"/>
                <w:spacing w:val="-1"/>
                <w:kern w:val="2"/>
                <w:sz w:val="24"/>
                <w:szCs w:val="24"/>
                <w:lang w:val="en-US" w:eastAsia="zh-CN" w:bidi="ar-SA"/>
              </w:rPr>
              <w:t>GB/T 29256.5-2012</w:t>
            </w:r>
          </w:p>
          <w:p w14:paraId="68D1BF6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lang w:val="en-US" w:eastAsia="zh-CN" w:bidi="ar-SA"/>
              </w:rPr>
              <w:t>方法A</w:t>
            </w:r>
          </w:p>
        </w:tc>
        <w:tc>
          <w:tcPr>
            <w:tcW w:w="2670" w:type="dxa"/>
            <w:vAlign w:val="center"/>
          </w:tcPr>
          <w:p w14:paraId="74897D5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23</w:t>
            </w:r>
            <w:r>
              <w:rPr>
                <w:rFonts w:hint="eastAsia" w:ascii="微软雅黑" w:hAnsi="微软雅黑" w:eastAsia="微软雅黑" w:cs="微软雅黑"/>
                <w:b w:val="0"/>
                <w:bCs w:val="0"/>
                <w:spacing w:val="-1"/>
                <w:kern w:val="2"/>
                <w:sz w:val="24"/>
                <w:szCs w:val="24"/>
                <w:vertAlign w:val="baseline"/>
                <w:lang w:val="en-US" w:eastAsia="zh-CN" w:bidi="ar-SA"/>
              </w:rPr>
              <w:t>ṣ</w:t>
            </w:r>
          </w:p>
          <w:p w14:paraId="56F51E9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(允差</w:t>
            </w:r>
            <w:r>
              <w:rPr>
                <w:rFonts w:hint="eastAsia" w:ascii="微软雅黑" w:hAnsi="微软雅黑" w:eastAsia="微软雅黑" w:cs="微软雅黑"/>
                <w:b w:val="0"/>
                <w:bCs w:val="0"/>
                <w:spacing w:val="-1"/>
                <w:kern w:val="2"/>
                <w:sz w:val="24"/>
                <w:szCs w:val="24"/>
                <w:vertAlign w:val="baseline"/>
                <w:lang w:val="en-US" w:eastAsia="zh-CN" w:bidi="ar-SA"/>
              </w:rPr>
              <w:t>±</w:t>
            </w:r>
            <w:r>
              <w:rPr>
                <w:rFonts w:hint="eastAsia" w:asciiTheme="minorEastAsia" w:hAnsiTheme="minorEastAsia" w:eastAsiaTheme="minorEastAsia" w:cstheme="minorEastAsia"/>
                <w:b w:val="0"/>
                <w:bCs w:val="0"/>
                <w:spacing w:val="-1"/>
                <w:kern w:val="2"/>
                <w:sz w:val="24"/>
                <w:szCs w:val="24"/>
                <w:vertAlign w:val="baseline"/>
                <w:lang w:val="en-US" w:eastAsia="zh-CN" w:bidi="ar-SA"/>
              </w:rPr>
              <w:t>5%）</w:t>
            </w:r>
          </w:p>
        </w:tc>
        <w:tc>
          <w:tcPr>
            <w:tcW w:w="1815" w:type="dxa"/>
            <w:vAlign w:val="center"/>
          </w:tcPr>
          <w:p w14:paraId="0231299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26.9tex</w:t>
            </w:r>
          </w:p>
          <w:p w14:paraId="7D10B12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(22.0</w:t>
            </w:r>
            <w:r>
              <w:rPr>
                <w:rFonts w:hint="eastAsia" w:ascii="微软雅黑" w:hAnsi="微软雅黑" w:eastAsia="微软雅黑" w:cs="微软雅黑"/>
                <w:b w:val="0"/>
                <w:bCs w:val="0"/>
                <w:spacing w:val="-1"/>
                <w:kern w:val="2"/>
                <w:sz w:val="24"/>
                <w:szCs w:val="24"/>
                <w:vertAlign w:val="baseline"/>
                <w:lang w:val="en-US" w:eastAsia="zh-CN" w:bidi="ar-SA"/>
              </w:rPr>
              <w:t>ṣ)</w:t>
            </w:r>
          </w:p>
        </w:tc>
        <w:tc>
          <w:tcPr>
            <w:tcW w:w="870" w:type="dxa"/>
            <w:vMerge w:val="restart"/>
            <w:vAlign w:val="center"/>
          </w:tcPr>
          <w:p w14:paraId="68DCCA6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合格</w:t>
            </w:r>
          </w:p>
          <w:p w14:paraId="4A633A4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r>
      <w:tr w14:paraId="5C96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vAlign w:val="center"/>
          </w:tcPr>
          <w:p w14:paraId="7BC2817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675" w:type="dxa"/>
            <w:vAlign w:val="center"/>
          </w:tcPr>
          <w:p w14:paraId="010A108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纬向</w:t>
            </w:r>
          </w:p>
        </w:tc>
        <w:tc>
          <w:tcPr>
            <w:tcW w:w="765" w:type="dxa"/>
            <w:vMerge w:val="continue"/>
            <w:vAlign w:val="center"/>
          </w:tcPr>
          <w:p w14:paraId="4D0FC10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2145" w:type="dxa"/>
            <w:vMerge w:val="continue"/>
            <w:vAlign w:val="center"/>
          </w:tcPr>
          <w:p w14:paraId="5F56FAB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c>
          <w:tcPr>
            <w:tcW w:w="2670" w:type="dxa"/>
            <w:vAlign w:val="center"/>
          </w:tcPr>
          <w:p w14:paraId="0259860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23</w:t>
            </w:r>
            <w:r>
              <w:rPr>
                <w:rFonts w:hint="eastAsia" w:ascii="微软雅黑" w:hAnsi="微软雅黑" w:eastAsia="微软雅黑" w:cs="微软雅黑"/>
                <w:b w:val="0"/>
                <w:bCs w:val="0"/>
                <w:spacing w:val="-1"/>
                <w:kern w:val="2"/>
                <w:sz w:val="24"/>
                <w:szCs w:val="24"/>
                <w:vertAlign w:val="baseline"/>
                <w:lang w:val="en-US" w:eastAsia="zh-CN" w:bidi="ar-SA"/>
              </w:rPr>
              <w:t>ṣ</w:t>
            </w:r>
          </w:p>
          <w:p w14:paraId="1354DD6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(允差</w:t>
            </w:r>
            <w:r>
              <w:rPr>
                <w:rFonts w:hint="eastAsia" w:ascii="微软雅黑" w:hAnsi="微软雅黑" w:eastAsia="微软雅黑" w:cs="微软雅黑"/>
                <w:b w:val="0"/>
                <w:bCs w:val="0"/>
                <w:spacing w:val="-1"/>
                <w:kern w:val="2"/>
                <w:sz w:val="24"/>
                <w:szCs w:val="24"/>
                <w:vertAlign w:val="baseline"/>
                <w:lang w:val="en-US" w:eastAsia="zh-CN" w:bidi="ar-SA"/>
              </w:rPr>
              <w:t>±</w:t>
            </w:r>
            <w:r>
              <w:rPr>
                <w:rFonts w:hint="eastAsia" w:asciiTheme="minorEastAsia" w:hAnsiTheme="minorEastAsia" w:eastAsiaTheme="minorEastAsia" w:cstheme="minorEastAsia"/>
                <w:b w:val="0"/>
                <w:bCs w:val="0"/>
                <w:spacing w:val="-1"/>
                <w:kern w:val="2"/>
                <w:sz w:val="24"/>
                <w:szCs w:val="24"/>
                <w:vertAlign w:val="baseline"/>
                <w:lang w:val="en-US" w:eastAsia="zh-CN" w:bidi="ar-SA"/>
              </w:rPr>
              <w:t>5%）</w:t>
            </w:r>
          </w:p>
        </w:tc>
        <w:tc>
          <w:tcPr>
            <w:tcW w:w="1815" w:type="dxa"/>
            <w:vAlign w:val="center"/>
          </w:tcPr>
          <w:p w14:paraId="6216387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26.9tex</w:t>
            </w:r>
          </w:p>
          <w:p w14:paraId="60875CB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r>
              <w:rPr>
                <w:rFonts w:hint="eastAsia" w:asciiTheme="minorEastAsia" w:hAnsiTheme="minorEastAsia" w:eastAsiaTheme="minorEastAsia" w:cstheme="minorEastAsia"/>
                <w:b w:val="0"/>
                <w:bCs w:val="0"/>
                <w:spacing w:val="-1"/>
                <w:kern w:val="2"/>
                <w:sz w:val="24"/>
                <w:szCs w:val="24"/>
                <w:vertAlign w:val="baseline"/>
                <w:lang w:val="en-US" w:eastAsia="zh-CN" w:bidi="ar-SA"/>
              </w:rPr>
              <w:t>(22.0</w:t>
            </w:r>
            <w:r>
              <w:rPr>
                <w:rFonts w:hint="eastAsia" w:ascii="微软雅黑" w:hAnsi="微软雅黑" w:eastAsia="微软雅黑" w:cs="微软雅黑"/>
                <w:b w:val="0"/>
                <w:bCs w:val="0"/>
                <w:spacing w:val="-1"/>
                <w:kern w:val="2"/>
                <w:sz w:val="24"/>
                <w:szCs w:val="24"/>
                <w:vertAlign w:val="baseline"/>
                <w:lang w:val="en-US" w:eastAsia="zh-CN" w:bidi="ar-SA"/>
              </w:rPr>
              <w:t>ṣ)</w:t>
            </w:r>
          </w:p>
        </w:tc>
        <w:tc>
          <w:tcPr>
            <w:tcW w:w="870" w:type="dxa"/>
            <w:vMerge w:val="continue"/>
            <w:vAlign w:val="center"/>
          </w:tcPr>
          <w:p w14:paraId="7DC3548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pacing w:val="-1"/>
                <w:kern w:val="2"/>
                <w:sz w:val="24"/>
                <w:szCs w:val="24"/>
                <w:vertAlign w:val="baseline"/>
                <w:lang w:val="en-US" w:eastAsia="zh-CN" w:bidi="ar-SA"/>
              </w:rPr>
            </w:pPr>
          </w:p>
        </w:tc>
      </w:tr>
    </w:tbl>
    <w:p w14:paraId="4ED3516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cs="宋体"/>
          <w:b/>
          <w:bCs/>
          <w:spacing w:val="-1"/>
          <w:kern w:val="2"/>
          <w:sz w:val="24"/>
          <w:szCs w:val="24"/>
          <w:lang w:val="en-US" w:eastAsia="zh-CN" w:bidi="ar-SA"/>
        </w:rPr>
      </w:pPr>
    </w:p>
    <w:p w14:paraId="327FC83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pacing w:val="-1"/>
          <w:kern w:val="2"/>
          <w:sz w:val="24"/>
          <w:szCs w:val="24"/>
          <w:lang w:val="en-US" w:eastAsia="zh-CN" w:bidi="ar-SA"/>
        </w:rPr>
      </w:pPr>
      <w:r>
        <w:rPr>
          <w:rFonts w:hint="eastAsia" w:cs="宋体"/>
          <w:b/>
          <w:bCs/>
          <w:spacing w:val="-1"/>
          <w:kern w:val="2"/>
          <w:sz w:val="24"/>
          <w:szCs w:val="24"/>
          <w:lang w:val="en-US" w:eastAsia="zh-CN" w:bidi="ar-SA"/>
        </w:rPr>
        <w:t>3</w:t>
      </w:r>
      <w:r>
        <w:rPr>
          <w:rFonts w:hint="eastAsia" w:ascii="宋体" w:hAnsi="宋体" w:eastAsia="宋体" w:cs="宋体"/>
          <w:b/>
          <w:bCs/>
          <w:spacing w:val="-1"/>
          <w:kern w:val="2"/>
          <w:sz w:val="24"/>
          <w:szCs w:val="24"/>
          <w:lang w:val="en-US" w:eastAsia="zh-CN" w:bidi="ar-SA"/>
        </w:rPr>
        <w:t>、生产要求：</w:t>
      </w:r>
    </w:p>
    <w:p w14:paraId="77A22C5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1）提供的所有服装均</w:t>
      </w:r>
      <w:r>
        <w:rPr>
          <w:rFonts w:hint="eastAsia" w:cs="宋体"/>
          <w:spacing w:val="-1"/>
          <w:kern w:val="2"/>
          <w:sz w:val="24"/>
          <w:szCs w:val="24"/>
          <w:lang w:val="en-US" w:eastAsia="zh-CN" w:bidi="ar-SA"/>
        </w:rPr>
        <w:t>应</w:t>
      </w:r>
      <w:r>
        <w:rPr>
          <w:rFonts w:hint="eastAsia" w:ascii="宋体" w:hAnsi="宋体" w:eastAsia="宋体" w:cs="宋体"/>
          <w:spacing w:val="-1"/>
          <w:kern w:val="2"/>
          <w:sz w:val="24"/>
          <w:szCs w:val="24"/>
          <w:lang w:val="en-US" w:eastAsia="zh-CN" w:bidi="ar-SA"/>
        </w:rPr>
        <w:t>由公司内部自行生产，不允许外包其他厂家生产。</w:t>
      </w:r>
    </w:p>
    <w:p w14:paraId="2F80DEF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2）所提供的服装须标明品牌、型号、规格、尺寸及一些必须说明的技术参数，以及使用的材料清单。</w:t>
      </w:r>
    </w:p>
    <w:p w14:paraId="2660541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3）供应商承担由于采购人在其本国使用该服装任何一部分时而引起第三方提出的侵犯专利权、商标权或工业设计的起诉、行动、行政程序索赔、请求等以及为此为产生的损失和损害、费用和支出（包括律师费）。</w:t>
      </w:r>
    </w:p>
    <w:p w14:paraId="163168F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pacing w:val="-1"/>
          <w:kern w:val="2"/>
          <w:sz w:val="24"/>
          <w:szCs w:val="24"/>
          <w:lang w:val="en-US" w:eastAsia="zh-CN" w:bidi="ar-SA"/>
        </w:rPr>
      </w:pPr>
      <w:r>
        <w:rPr>
          <w:rFonts w:hint="eastAsia" w:cs="宋体"/>
          <w:b/>
          <w:bCs/>
          <w:spacing w:val="-1"/>
          <w:kern w:val="2"/>
          <w:sz w:val="24"/>
          <w:szCs w:val="24"/>
          <w:lang w:val="en-US" w:eastAsia="zh-CN" w:bidi="ar-SA"/>
        </w:rPr>
        <w:t>4</w:t>
      </w:r>
      <w:r>
        <w:rPr>
          <w:rFonts w:hint="eastAsia" w:ascii="宋体" w:hAnsi="宋体" w:eastAsia="宋体" w:cs="宋体"/>
          <w:b/>
          <w:bCs/>
          <w:spacing w:val="-1"/>
          <w:kern w:val="2"/>
          <w:sz w:val="24"/>
          <w:szCs w:val="24"/>
          <w:lang w:val="en-US" w:eastAsia="zh-CN" w:bidi="ar-SA"/>
        </w:rPr>
        <w:t>、验收：</w:t>
      </w:r>
    </w:p>
    <w:p w14:paraId="76DFB21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1）面料检验：面料的各项含量指标技术要求和服装制作要求必须严格按照相关标准规范执行。</w:t>
      </w:r>
    </w:p>
    <w:p w14:paraId="5EE0EFA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2）验收过程中产生纠纷的，由质量技术监督部门认定的检测机构检测，如为供应商造成的，由供应商承担检测费用。</w:t>
      </w:r>
    </w:p>
    <w:p w14:paraId="4793DD6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3）合作期内，采购人一经发现货物与样品不符，将无条件终止合同，并追究供应商的违约责任。</w:t>
      </w:r>
    </w:p>
    <w:p w14:paraId="647B77A2">
      <w:pPr>
        <w:spacing w:line="400" w:lineRule="exact"/>
        <w:ind w:left="17" w:leftChars="8" w:firstLine="482" w:firstLineChars="200"/>
        <w:jc w:val="left"/>
        <w:rPr>
          <w:rFonts w:hint="eastAsia" w:ascii="宋体" w:hAnsi="宋体" w:eastAsia="宋体" w:cs="宋体"/>
          <w:b/>
          <w:color w:val="auto"/>
          <w:sz w:val="24"/>
          <w:szCs w:val="24"/>
        </w:rPr>
      </w:pPr>
    </w:p>
    <w:p w14:paraId="2AF4057D">
      <w:pPr>
        <w:spacing w:line="400" w:lineRule="exact"/>
        <w:ind w:left="17" w:leftChars="8" w:firstLine="480" w:firstLineChars="200"/>
        <w:jc w:val="left"/>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军训服组合套装</w:t>
      </w:r>
      <w:r>
        <w:rPr>
          <w:rFonts w:hint="eastAsia" w:ascii="宋体" w:hAnsi="宋体" w:eastAsia="宋体" w:cs="宋体"/>
          <w:color w:val="000000"/>
          <w:kern w:val="0"/>
          <w:sz w:val="24"/>
          <w:szCs w:val="24"/>
        </w:rPr>
        <w:t>（含</w:t>
      </w:r>
      <w:r>
        <w:rPr>
          <w:rFonts w:hint="eastAsia" w:ascii="宋体" w:hAnsi="宋体" w:cs="宋体"/>
          <w:color w:val="000000"/>
          <w:kern w:val="0"/>
          <w:sz w:val="24"/>
          <w:szCs w:val="24"/>
          <w:lang w:eastAsia="zh-CN"/>
        </w:rPr>
        <w:t>迷彩短袖</w:t>
      </w:r>
      <w:r>
        <w:rPr>
          <w:rFonts w:hint="eastAsia" w:ascii="宋体" w:hAnsi="宋体" w:cs="宋体"/>
          <w:color w:val="000000"/>
          <w:kern w:val="0"/>
          <w:sz w:val="24"/>
          <w:szCs w:val="24"/>
          <w:lang w:val="en-US" w:eastAsia="zh-CN"/>
        </w:rPr>
        <w:t>2件+迷彩裤1条+一顶帽子+一根腰带</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样图如下：</w:t>
      </w:r>
    </w:p>
    <w:p w14:paraId="73BC6255">
      <w:pPr>
        <w:pStyle w:val="2"/>
        <w:rPr>
          <w:rFonts w:hint="eastAsia"/>
          <w:lang w:val="en-US" w:eastAsia="zh-CN"/>
        </w:rPr>
      </w:pPr>
      <w:r>
        <w:rPr>
          <w:rFonts w:hint="eastAsia"/>
          <w:lang w:val="en-US" w:eastAsia="zh-CN"/>
        </w:rPr>
        <w:drawing>
          <wp:inline distT="0" distB="0" distL="114300" distR="114300">
            <wp:extent cx="5266690" cy="6320155"/>
            <wp:effectExtent l="0" t="0" r="10160" b="4445"/>
            <wp:docPr id="2" name="图片 2" descr="微信图片_2024072715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27154050"/>
                    <pic:cNvPicPr>
                      <a:picLocks noChangeAspect="1"/>
                    </pic:cNvPicPr>
                  </pic:nvPicPr>
                  <pic:blipFill>
                    <a:blip r:embed="rId5"/>
                    <a:stretch>
                      <a:fillRect/>
                    </a:stretch>
                  </pic:blipFill>
                  <pic:spPr>
                    <a:xfrm>
                      <a:off x="0" y="0"/>
                      <a:ext cx="5266690" cy="6320155"/>
                    </a:xfrm>
                    <a:prstGeom prst="rect">
                      <a:avLst/>
                    </a:prstGeom>
                  </pic:spPr>
                </pic:pic>
              </a:graphicData>
            </a:graphic>
          </wp:inline>
        </w:drawing>
      </w:r>
    </w:p>
    <w:p w14:paraId="5D50D249">
      <w:pPr>
        <w:pStyle w:val="2"/>
        <w:rPr>
          <w:rFonts w:hint="default"/>
          <w:lang w:val="en-US" w:eastAsia="zh-CN"/>
        </w:rPr>
      </w:pPr>
    </w:p>
    <w:p w14:paraId="20645F7A">
      <w:pPr>
        <w:pStyle w:val="2"/>
        <w:rPr>
          <w:rFonts w:hint="default"/>
          <w:lang w:val="en-US" w:eastAsia="zh-CN"/>
        </w:rPr>
      </w:pPr>
    </w:p>
    <w:p w14:paraId="2CF47EDB">
      <w:pPr>
        <w:pStyle w:val="2"/>
        <w:rPr>
          <w:rFonts w:hint="default"/>
          <w:lang w:val="en-US" w:eastAsia="zh-CN"/>
        </w:rPr>
      </w:pPr>
    </w:p>
    <w:p w14:paraId="03DBDA1E">
      <w:pPr>
        <w:pStyle w:val="2"/>
        <w:rPr>
          <w:rFonts w:hint="default"/>
          <w:lang w:val="en-US" w:eastAsia="zh-CN"/>
        </w:rPr>
      </w:pPr>
    </w:p>
    <w:p w14:paraId="67D798AD">
      <w:pPr>
        <w:pStyle w:val="2"/>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588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0D21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E0D21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69031"/>
    <w:multiLevelType w:val="singleLevel"/>
    <w:tmpl w:val="61369031"/>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YWQzZGYzNTQ5NWIxYzllOTJjYzhiYmQ2YjIzNGEifQ=="/>
  </w:docVars>
  <w:rsids>
    <w:rsidRoot w:val="26A40989"/>
    <w:rsid w:val="0010501B"/>
    <w:rsid w:val="05300925"/>
    <w:rsid w:val="05D705BC"/>
    <w:rsid w:val="07377B76"/>
    <w:rsid w:val="0C7E3DA7"/>
    <w:rsid w:val="0E9B508E"/>
    <w:rsid w:val="0FB3423F"/>
    <w:rsid w:val="122B630F"/>
    <w:rsid w:val="13465239"/>
    <w:rsid w:val="134E2DD1"/>
    <w:rsid w:val="14BF191B"/>
    <w:rsid w:val="14C41245"/>
    <w:rsid w:val="15751CF2"/>
    <w:rsid w:val="16F17D8A"/>
    <w:rsid w:val="17EC0AB0"/>
    <w:rsid w:val="1A2C0886"/>
    <w:rsid w:val="1ADF2B94"/>
    <w:rsid w:val="1DB33697"/>
    <w:rsid w:val="1F7C2525"/>
    <w:rsid w:val="201574B0"/>
    <w:rsid w:val="224D6654"/>
    <w:rsid w:val="26407EE5"/>
    <w:rsid w:val="26A40989"/>
    <w:rsid w:val="26B31E35"/>
    <w:rsid w:val="277169E6"/>
    <w:rsid w:val="29886328"/>
    <w:rsid w:val="2A2E4551"/>
    <w:rsid w:val="2A6D3225"/>
    <w:rsid w:val="2B5814D0"/>
    <w:rsid w:val="2EAA2F1E"/>
    <w:rsid w:val="33073103"/>
    <w:rsid w:val="337635F1"/>
    <w:rsid w:val="383B5262"/>
    <w:rsid w:val="391D1C3B"/>
    <w:rsid w:val="3A063256"/>
    <w:rsid w:val="3B175F0F"/>
    <w:rsid w:val="3E6D6445"/>
    <w:rsid w:val="40110B18"/>
    <w:rsid w:val="421D3CA5"/>
    <w:rsid w:val="45F73E00"/>
    <w:rsid w:val="48BF52B2"/>
    <w:rsid w:val="4939358E"/>
    <w:rsid w:val="4EC57C6C"/>
    <w:rsid w:val="4F662255"/>
    <w:rsid w:val="52C609B7"/>
    <w:rsid w:val="548D1BFF"/>
    <w:rsid w:val="569E182C"/>
    <w:rsid w:val="581A7F84"/>
    <w:rsid w:val="58B53C20"/>
    <w:rsid w:val="5A3E1210"/>
    <w:rsid w:val="5C297177"/>
    <w:rsid w:val="5D607825"/>
    <w:rsid w:val="5DA165E7"/>
    <w:rsid w:val="5EE74904"/>
    <w:rsid w:val="6067535B"/>
    <w:rsid w:val="650A1E78"/>
    <w:rsid w:val="65DB3ABF"/>
    <w:rsid w:val="65EE23D1"/>
    <w:rsid w:val="664766C6"/>
    <w:rsid w:val="67DD1CE1"/>
    <w:rsid w:val="690D1FFC"/>
    <w:rsid w:val="693F228A"/>
    <w:rsid w:val="6A653452"/>
    <w:rsid w:val="6B684C9B"/>
    <w:rsid w:val="6E7E4E38"/>
    <w:rsid w:val="6EB167AF"/>
    <w:rsid w:val="704D5C84"/>
    <w:rsid w:val="715F2EC2"/>
    <w:rsid w:val="71882933"/>
    <w:rsid w:val="726B1EEC"/>
    <w:rsid w:val="74D70440"/>
    <w:rsid w:val="76CB6F68"/>
    <w:rsid w:val="76D3790F"/>
    <w:rsid w:val="77813359"/>
    <w:rsid w:val="78B33DB1"/>
    <w:rsid w:val="7F1118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7C7070"/>
      <w:u w:val="none"/>
    </w:rPr>
  </w:style>
  <w:style w:type="character" w:styleId="11">
    <w:name w:val="Hyperlink"/>
    <w:basedOn w:val="9"/>
    <w:qFormat/>
    <w:uiPriority w:val="0"/>
    <w:rPr>
      <w:color w:val="7C7070"/>
      <w:u w:val="none"/>
    </w:rPr>
  </w:style>
  <w:style w:type="character" w:customStyle="1" w:styleId="12">
    <w:name w:val="not([class*=suffix])"/>
    <w:basedOn w:val="9"/>
    <w:qFormat/>
    <w:uiPriority w:val="0"/>
  </w:style>
  <w:style w:type="character" w:customStyle="1" w:styleId="13">
    <w:name w:val="not([class*=suffix])1"/>
    <w:basedOn w:val="9"/>
    <w:qFormat/>
    <w:uiPriority w:val="0"/>
    <w:rPr>
      <w:sz w:val="19"/>
      <w:szCs w:val="19"/>
    </w:rPr>
  </w:style>
  <w:style w:type="character" w:customStyle="1" w:styleId="14">
    <w:name w:val="nc-lang-cnt"/>
    <w:basedOn w:val="9"/>
    <w:qFormat/>
    <w:uiPriority w:val="0"/>
    <w:rPr>
      <w:rFonts w:hint="cs"/>
      <w:rtl/>
    </w:rPr>
  </w:style>
  <w:style w:type="character" w:customStyle="1" w:styleId="15">
    <w:name w:val="nc-lang-cnt1"/>
    <w:basedOn w:val="9"/>
    <w:qFormat/>
    <w:uiPriority w:val="0"/>
  </w:style>
  <w:style w:type="character" w:customStyle="1" w:styleId="16">
    <w:name w:val="nc-lang-cnt2"/>
    <w:basedOn w:val="9"/>
    <w:qFormat/>
    <w:uiPriority w:val="0"/>
  </w:style>
  <w:style w:type="character" w:customStyle="1" w:styleId="17">
    <w:name w:val="nc-lang-cnt3"/>
    <w:basedOn w:val="9"/>
    <w:qFormat/>
    <w:uiPriority w:val="0"/>
    <w:rPr>
      <w:rFonts w:hint="cs"/>
      <w:rtl/>
    </w:rPr>
  </w:style>
  <w:style w:type="character" w:customStyle="1" w:styleId="18">
    <w:name w:val="nc-lang-cnt4"/>
    <w:basedOn w:val="9"/>
    <w:qFormat/>
    <w:uiPriority w:val="0"/>
    <w:rPr>
      <w:rFonts w:hint="cs"/>
      <w:rtl/>
    </w:rPr>
  </w:style>
  <w:style w:type="character" w:customStyle="1" w:styleId="19">
    <w:name w:val="nc-lang-cnt5"/>
    <w:basedOn w:val="9"/>
    <w:qFormat/>
    <w:uiPriority w:val="0"/>
    <w:rPr>
      <w:rFonts w:hint="cs"/>
      <w:rtl/>
    </w:rPr>
  </w:style>
  <w:style w:type="character" w:customStyle="1" w:styleId="20">
    <w:name w:val="nc-lang-cnt6"/>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947</Words>
  <Characters>1201</Characters>
  <Lines>0</Lines>
  <Paragraphs>0</Paragraphs>
  <TotalTime>2</TotalTime>
  <ScaleCrop>false</ScaleCrop>
  <LinksUpToDate>false</LinksUpToDate>
  <CharactersWithSpaces>1228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2019-05-09T03:16:00Z</dcterms:created>
  <dc:creator>Administrator</dc:creator>
  <cp:lastModifiedBy>Mirojer</cp:lastModifiedBy>
  <cp:lastPrinted>2022-05-09T02:50:00Z</cp:lastPrinted>
  <dcterms:modified xsi:type="dcterms:W3CDTF">2025-06-23T00:05:35Z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4E3E6B3DAB3A425DB9940A6EDE1E2574_13</vt:lpwstr>
  </property>
  <property fmtid="{D5CDD505-2E9C-101B-9397-08002B2CF9AE}" pid="4" name="KSOTemplateDocerSaveRecord">
    <vt:lpwstr>eyJoZGlkIjoiYTU2YWQ5N2UyNThkMTk3N2E1NWQ2ZGJkY2Y1ZGZjMWQiLCJ1c2VySWQiOiI0MTg5NDY3NjkifQ==</vt:lpwstr>
  </property>
</Properties>
</file>